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Markel J, Opferman S, Landay J, Piech C (2023) GPTeach: Interactive TA Training with GPT-based Students. ACM Learning@Scale.</w:t>
      </w:r>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Holderried F, et al (2024) A Generative Pretrained Transformer (GPT)-Powered Chatbot as a Simulated Patient to Practice History Taking. JMIR Medical Education.</w:t>
      </w:r>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68">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Asgari E, Montaña-Brown N, Dubois M, et al (2025) A framework to assess clinical safety and hallucination rates of LLMs for medical text summarisation.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Barman N (2023) Symptom2Disease. Kaggle dataset.</w:t>
      </w:r>
      <w:r>
        <w:rPr>
          <w:color w:val="CC0000"/>
        </w:rPr>
        <w:t xml:space="preserve"> </w:t>
      </w:r>
      <w:hyperlink r:id="rId69">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Johnson A, et al (2023) MIMIC-IV-ED (v2.2). PhysioNet.</w:t>
      </w:r>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110. </w:t>
      </w:r>
      <w:r>
        <w:rPr>
          <w:color w:val="CC0000"/>
        </w:rPr>
        <w:t xml:space="preserve">Diaz Ochoa J, Layer N, Mahr J, Mustafa F, et al (2025) Optimized BERT-based NLP outperforms zero-shot methods for automated symptom detection in clinical practice. Frontiers in Digital Health.</w:t>
      </w:r>
    </w:p>
    <w:bookmarkEnd w:id="70"/>
    <w:bookmarkEnd w:id="7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8"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69"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2026-08-09T11:01:15Z</dcterms:created>
  <dcterms:modified xsi:type="dcterms:W3CDTF">2026-08-09T11:01:15Z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