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Xb3a8dbe493eb8229387b81cb07551ee4828e1f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Framework, Structured Survey, and Ten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Our central contribution is an organizing framework for this emerging area: a</w:t>
      </w:r>
      <w:r>
        <w:t xml:space="preserve"> </w:t>
      </w:r>
      <w:r>
        <w:t xml:space="preserve">source-to-communication-to-model pipeline paired with a taxonomy of clinical-communication channels,</w:t>
      </w:r>
      <w:r>
        <w:t xml:space="preserve"> </w:t>
      </w:r>
      <w:r>
        <w:t xml:space="preserve">which we develop into a structured narrative survey organized by source representation, communication</w:t>
      </w:r>
      <w:r>
        <w:t xml:space="preserve"> </w:t>
      </w:r>
      <w:r>
        <w:t xml:space="preserve">form and participants, generation method, and downstream task. We validate the framework through ten</w:t>
      </w:r>
      <w:r>
        <w:t xml:space="preserve"> </w:t>
      </w:r>
      <w:r>
        <w:t xml:space="preserve">application case studies that build clinical NLP systems for communication channels and languages with no</w:t>
      </w:r>
      <w:r>
        <w:t xml:space="preserve"> </w:t>
      </w:r>
      <w:r>
        <w:t xml:space="preserve">labeled real-world data, spanning EMS pre-arrival reports, nurse handoffs, and 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ten studies form a graded validation ladder: one reports its headline metric on</w:t>
      </w:r>
      <w:r>
        <w:t xml:space="preserve"> </w:t>
      </w:r>
      <w:r>
        <w:t xml:space="preserve">authentic patient-authored text, a medication-question classifier that serves as our proof of</w:t>
      </w:r>
      <w:r>
        <w:t xml:space="preserve"> </w:t>
      </w:r>
      <w:r>
        <w:t xml:space="preserve">synthetic-to-real transfer; four seed generation from real structured data; and the rest evaluate on</w:t>
      </w:r>
      <w:r>
        <w:t xml:space="preserve"> </w:t>
      </w:r>
      <w:r>
        <w:t xml:space="preserve">held-out synthetic communication, so broadening train-on-synthetic, test-on-authentic evidence is the</w:t>
      </w:r>
      <w:r>
        <w:t xml:space="preserve"> </w:t>
      </w:r>
      <w:r>
        <w:t xml:space="preserve">clearly marked next step rather than a hidden gap.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bookmarkStart w:id="12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0" name="Picture"/>
            <a:graphic>
              <a:graphicData uri="http://schemas.openxmlformats.org/drawingml/2006/picture">
                <pic:pic>
                  <pic:nvPicPr>
                    <pic:cNvPr descr="figures/fig0_landsc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primary contribution is an organizing framework, the source-to-communication-to-model pipeline paired</w:t>
      </w:r>
      <w:r>
        <w:t xml:space="preserve"> </w:t>
      </w:r>
      <w:r>
        <w:t xml:space="preserve">with a taxonomy of clinical-communication channels, around which a fragmented literature is unified; within</w:t>
      </w:r>
      <w:r>
        <w:t xml:space="preserve"> </w:t>
      </w:r>
      <w:r>
        <w:t xml:space="preserve">it we survey recent generation and evaluation methods, validate the framework through ten novel application</w:t>
      </w:r>
      <w:r>
        <w:t xml:space="preserve"> </w:t>
      </w:r>
      <w:r>
        <w:t xml:space="preserve">case studies that build clinical NLP for communication channels and languages lacking any labeled real-world</w:t>
      </w:r>
      <w:r>
        <w:t xml:space="preserve"> </w:t>
      </w:r>
      <w:r>
        <w:t xml:space="preserve">data (demonstrating feasibility where models could not otherwise be trained), and distill from them reusable</w:t>
      </w:r>
      <w:r>
        <w:t xml:space="preserve"> </w:t>
      </w:r>
      <w:r>
        <w:t xml:space="preserve">design patterns and open problems in an emergent field. Because these systems ultimately mediate communication with patients and care teams, the work speaks directly to human-centered health informatics: triage that respects how patients phrase their symptoms, handoffs that protect the next clinician, and portals that route messages safely.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bookmarkEnd w:id="12"/>
    <w:bookmarkStart w:id="24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6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3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3"/>
    <w:bookmarkStart w:id="14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4"/>
    <w:bookmarkStart w:id="15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5"/>
    <w:bookmarkEnd w:id="16"/>
    <w:bookmarkStart w:id="21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7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7"/>
    <w:bookmarkStart w:id="18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8"/>
    <w:bookmarkStart w:id="19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19"/>
    <w:bookmarkStart w:id="20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0"/>
    <w:bookmarkEnd w:id="21"/>
    <w:bookmarkStart w:id="22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reports results on</w:t>
      </w:r>
      <w:r>
        <w:t xml:space="preserve"> </w:t>
      </w:r>
      <w:r>
        <w:t xml:space="preserve">authentic patient-authored text; of the nine,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2"/>
    <w:bookmarkStart w:id="23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3"/>
    <w:bookmarkEnd w:id="24"/>
    <w:bookmarkStart w:id="54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is a novel contribution in its own right: it builds a working system for a channel or language where</w:t>
      </w:r>
      <w:r>
        <w:t xml:space="preserve"> </w:t>
      </w:r>
      <w:r>
        <w:t xml:space="preserve">labeled real-world data is unavailable, making synthetic communication the enabling resource rather than a</w:t>
      </w:r>
      <w:r>
        <w:t xml:space="preserve"> </w:t>
      </w:r>
      <w:r>
        <w:t xml:space="preserve">mere convenience.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Every study ships a self-contained reproduction script, and a five-seed re-run of the</w:t>
      </w:r>
      <w:r>
        <w:t xml:space="preserve"> </w:t>
      </w:r>
      <w:r>
        <w:t xml:space="preserve">reproducible pipeline confirms these metrics are stable to random seed (standard deviations typically below</w:t>
      </w:r>
      <w:r>
        <w:t xml:space="preserve"> </w:t>
      </w:r>
      <w:r>
        <w:t xml:space="preserve">0.05), so the single-run figures are a reporting choice rather than a fragile one. Table 7 summarizes all ten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28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5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 The Naïve Bayes row shows a five-seed reproduction on the shipped data (mean±SD; 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 The Naïve Bayes row shows a five-seed reproduction on the shipped data (mean±SD; 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94.0±0.9%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79.1±0.3%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79.2±0.7%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5"/>
    <w:bookmarkStart w:id="26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26"/>
    <w:bookmarkStart w:id="27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 Logistic-regression accuracy and 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 Logistic-regression accuracy and 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0.755±0.025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0.723±0.011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27"/>
    <w:bookmarkEnd w:id="28"/>
    <w:bookmarkStart w:id="43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2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0" name="Picture"/>
            <a:graphic>
              <a:graphicData uri="http://schemas.openxmlformats.org/drawingml/2006/picture">
                <pic:pic>
                  <pic:nvPicPr>
                    <pic:cNvPr descr="figures/fig2_portal_triag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2"/>
    <w:bookmarkStart w:id="36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34" name="Picture"/>
            <a:graphic>
              <a:graphicData uri="http://schemas.openxmlformats.org/drawingml/2006/picture">
                <pic:pic>
                  <pic:nvPicPr>
                    <pic:cNvPr descr="figures/fig3_csection_confus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6"/>
    <w:bookmarkStart w:id="37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37"/>
    <w:bookmarkStart w:id="38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and synthetic generation is confined to training-side rebalancing,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data; the classical SVM baseline (0.84 accuracy, 0.80 macro-F1) isolates that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38"/>
    <w:bookmarkStart w:id="42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0.943±0.008 accuracy and 0.943±0.008 macro-F1 (five-seed reproduction on the shipped data; see the repository),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0" name="Picture"/>
            <a:graphic>
              <a:graphicData uri="http://schemas.openxmlformats.org/drawingml/2006/picture">
                <pic:pic>
                  <pic:nvPicPr>
                    <pic:cNvPr descr="figures/fig4_homecare_recal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2"/>
    <w:bookmarkEnd w:id="43"/>
    <w:bookmarkStart w:id="52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7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5" name="Picture"/>
            <a:graphic>
              <a:graphicData uri="http://schemas.openxmlformats.org/drawingml/2006/picture">
                <pic:pic>
                  <pic:nvPicPr>
                    <pic:cNvPr descr="figures/fig5_medalert_macrof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47"/>
    <w:bookmarkStart w:id="51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 Logistic-regression accuracy and class macro-F1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 Logistic-regression accuracy and class macro-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0.745±0.040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0.732±0.046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49" name="Picture"/>
            <a:graphic>
              <a:graphicData uri="http://schemas.openxmlformats.org/drawingml/2006/picture">
                <pic:pic>
                  <pic:nvPicPr>
                    <pic:cNvPr descr="figures/fig7_sbar_macrof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51"/>
    <w:bookmarkEnd w:id="52"/>
    <w:bookmarkStart w:id="53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grounding levels. One study evaluates its headline metric on authentic patient-authored text: the</w:t>
      </w:r>
      <w:r>
        <w:t xml:space="preserve"> </w:t>
      </w:r>
      <w:r>
        <w:t xml:space="preserve">medication-question classifier (§3.2.4) is tested on real consumer questions, with generation confined to</w:t>
      </w:r>
      <w:r>
        <w:t xml:space="preserve"> </w:t>
      </w:r>
      <w:r>
        <w:t xml:space="preserve">training-side class rebalancing, so its number is a genuine train-on-synthetic-augmented, test-on-real</w:t>
      </w:r>
      <w:r>
        <w:t xml:space="preserve"> </w:t>
      </w:r>
      <w:r>
        <w:t xml:space="preserve">(</w:t>
      </w:r>
      <w:r>
        <w:rPr>
          <w:i/>
          <w:iCs/>
        </w:rPr>
        <w:t xml:space="preserve">S→R</w:t>
      </w:r>
      <w:r>
        <w:t xml:space="preserve">) result. Four studies seed generation from real structured data, case distributions and</w:t>
      </w:r>
      <w:r>
        <w:t xml:space="preserve"> </w:t>
      </w:r>
      <w:r>
        <w:t xml:space="preserve">diagnostic labels drawn from public datasets or de-identified records (Symptom2Disease, the Symptom-Disease</w:t>
      </w:r>
      <w:r>
        <w:t xml:space="preserve"> </w:t>
      </w:r>
      <w:r>
        <w:t xml:space="preserve">Prediction Dataset, MIMIC-IV-ED, and MIMIC-IV-Ext), so their labels and clinical content are anchored in</w:t>
      </w:r>
      <w:r>
        <w:t xml:space="preserve"> </w:t>
      </w:r>
      <w:r>
        <w:t xml:space="preserve">reality even though the communication text and the test set are synthetic. The remaining five studies are</w:t>
      </w:r>
      <w:r>
        <w:t xml:space="preserve"> </w:t>
      </w:r>
      <w:r>
        <w:t xml:space="preserve">fully synthetic in source, text, and test. Stating this distribution explicitly is deliberate: it shows that</w:t>
      </w:r>
      <w:r>
        <w:t xml:space="preserve"> </w:t>
      </w:r>
      <w:r>
        <w:t xml:space="preserve">the survey demonstrates channel feasibility broadly while genuine real-text validation is so far established</w:t>
      </w:r>
      <w:r>
        <w:t xml:space="preserve"> </w:t>
      </w:r>
      <w:r>
        <w:t xml:space="preserve">at one point, which is the boundary Section 4 examines and the frontier Section 5 prioritizes.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test set: authentic patient questions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bookmarkEnd w:id="53"/>
    <w:bookmarkEnd w:id="54"/>
    <w:bookmarkStart w:id="59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5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5"/>
    <w:bookmarkStart w:id="56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6"/>
    <w:bookmarkStart w:id="57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7"/>
    <w:bookmarkStart w:id="58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8"/>
    <w:bookmarkEnd w:id="59"/>
    <w:bookmarkStart w:id="60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0"/>
    <w:bookmarkStart w:id="61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whose classifier is tested on</w:t>
      </w:r>
      <w:r>
        <w:t xml:space="preserve"> </w:t>
      </w:r>
      <w:r>
        <w:t xml:space="preserve">authentic patient-authored questions with synthetic generation confined to rebalancing the rare class in</w:t>
      </w:r>
      <w:r>
        <w:t xml:space="preserve"> </w:t>
      </w:r>
      <w:r>
        <w:t xml:space="preserve">training; one further study grounds generation in real clinical records, tracing EMS routing to MIMIC-IV cases (Section 3.3.1).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1"/>
    <w:bookmarkStart w:id="63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2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Each study's reproducible pipeline can be re-run across random seeds through a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control, and a five-seed sweep confirms the reproduced metrics are stable to seed, with standard deviations typically below 0.05; the per-seed results ship with the code.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63"/>
    <w:bookmarkStart w:id="64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4"/>
    <w:bookmarkStart w:id="69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5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6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67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68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69"/>
    <w:bookmarkEnd w:id="70"/>
    <w:sectPr w:rsidR="00FC693F" w:rsidRPr="0006063C" w:rsidSect="00034616">
      <w:footerReference w:type="default" r:id="rId10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2026-08-09T06:25:08Z</dcterms:created>
  <dcterms:modified xsi:type="dcterms:W3CDTF">2026-08-09T06:25:08Z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