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bookmarkStart w:id="9" w:name="highlights"/>
    <w:p>
      <w:pPr>
        <w:pStyle w:val="Heading2"/>
        <w:keepNext/>
        <w:keepLines/>
        <w:widowControl w:val="1"/>
      </w:pPr>
      <w:r>
        <w:t xml:space="preserve">Highlights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Synthetic clinical text lets language models be trained where real data is scarce.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channel taxonomy unifies dialogue, portal, dispatch, and handover communication.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Ten case studies build clinical text systems with no labeled real-world data.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Small fine-tuned models on synthetic text beat large models used without training.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Testing on real communication after synthetic training is the key open problem.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End w:id="9"/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1" name="Picture"/>
            <a:graphic>
              <a:graphicData uri="http://schemas.openxmlformats.org/drawingml/2006/picture">
                <pic:pic>
                  <pic:nvPicPr>
                    <pic:cNvPr descr="figures/fig0_landscap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as a framework rather than a diagram, the pipeline exposes six decision dimensions, each of which forces</w:t>
      </w:r>
      <w:r>
        <w:t xml:space="preserve"> </w:t>
      </w:r>
      <w:r>
        <w:t xml:space="preserve">a concrete design choice: (i) </w:t>
      </w:r>
      <w:r>
        <w:rPr>
          <w:b/>
          <w:bCs/>
        </w:rPr>
        <w:t xml:space="preserve">source grounding</w:t>
      </w:r>
      <w:r>
        <w:t xml:space="preserve">, how tightly generation is tied to real records,</w:t>
      </w:r>
      <w:r>
        <w:t xml:space="preserve"> </w:t>
      </w:r>
      <w:r>
        <w:t xml:space="preserve">labels, or scenarios, which sets the ceiling on factual fidelity (Section 2.2); (ii) </w:t>
      </w:r>
      <w:r>
        <w:rPr>
          <w:b/>
          <w:bCs/>
        </w:rPr>
        <w:t xml:space="preserve">communication</w:t>
      </w:r>
      <w:r>
        <w:rPr>
          <w:b/>
          <w:bCs/>
        </w:rPr>
        <w:t xml:space="preserve"> </w:t>
      </w:r>
      <w:r>
        <w:rPr>
          <w:b/>
          <w:bCs/>
        </w:rPr>
        <w:t xml:space="preserve">channel</w:t>
      </w:r>
      <w:r>
        <w:t xml:space="preserve">, which fixes the participants, register, and failure modes to reproduce (Section 2.1);</w:t>
      </w:r>
      <w:r>
        <w:t xml:space="preserve"> </w:t>
      </w:r>
      <w:r>
        <w:t xml:space="preserve">(iii) </w:t>
      </w:r>
      <w:r>
        <w:rPr>
          <w:b/>
          <w:bCs/>
        </w:rPr>
        <w:t xml:space="preserve">controlled communication properties</w:t>
      </w:r>
      <w:r>
        <w:t xml:space="preserve">, the role, intent, uncertainty, missingness, style, and</w:t>
      </w:r>
      <w:r>
        <w:t xml:space="preserve"> </w:t>
      </w:r>
      <w:r>
        <w:t xml:space="preserve">noise deliberately injected (Section 2.2); (iv) </w:t>
      </w:r>
      <w:r>
        <w:rPr>
          <w:b/>
          <w:bCs/>
        </w:rPr>
        <w:t xml:space="preserve">generation strategy</w:t>
      </w:r>
      <w:r>
        <w:t xml:space="preserve">, from single-shot</w:t>
      </w:r>
      <w:r>
        <w:t xml:space="preserve"> </w:t>
      </w:r>
      <w:r>
        <w:t xml:space="preserve">prompting to multi-agent simulation and audio-plus-ASR degradation, traded against cost and diversity;</w:t>
      </w:r>
      <w:r>
        <w:t xml:space="preserve"> </w:t>
      </w:r>
      <w:r>
        <w:t xml:space="preserve">(v) </w:t>
      </w:r>
      <w:r>
        <w:rPr>
          <w:b/>
          <w:bCs/>
        </w:rPr>
        <w:t xml:space="preserve">downstream task</w:t>
      </w:r>
      <w:r>
        <w:t xml:space="preserve">, training, augmentation, or evaluation, which determines what labels the</w:t>
      </w:r>
      <w:r>
        <w:t xml:space="preserve"> </w:t>
      </w:r>
      <w:r>
        <w:t xml:space="preserve">generator must carry; and (vi) </w:t>
      </w:r>
      <w:r>
        <w:rPr>
          <w:b/>
          <w:bCs/>
        </w:rPr>
        <w:t xml:space="preserve">evaluation regime</w:t>
      </w:r>
      <w:r>
        <w:t xml:space="preserve">,</w:t>
      </w:r>
      <w:r>
        <w:t xml:space="preserve"> </w:t>
      </w:r>
      <w:r>
        <w:rPr>
          <w:i/>
          <w:iCs/>
        </w:rPr>
        <w:t xml:space="preserve">S→S</w:t>
      </w:r>
      <w:r>
        <w:t xml:space="preserve">,</w:t>
      </w:r>
      <w:r>
        <w:t xml:space="preserve"> </w:t>
      </w:r>
      <w:r>
        <w:rPr>
          <w:i/>
          <w:iCs/>
        </w:rPr>
        <w:t xml:space="preserve">R+S→R</w:t>
      </w:r>
      <w:r>
        <w:t xml:space="preserve">, or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(Section 2.3), which decides how far a result can be trusted. The ten application studies</w:t>
      </w:r>
      <w:r>
        <w:t xml:space="preserve"> </w:t>
      </w:r>
      <w:r>
        <w:t xml:space="preserve">(Section 3) are points in this space; the choices they share are distilled into the reusable design</w:t>
      </w:r>
      <w:r>
        <w:t xml:space="preserve"> </w:t>
      </w:r>
      <w:r>
        <w:t xml:space="preserve">patterns of Table 18 and the channel recipe at the end of Section 2.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A concurrent scoping review in this journal surveys language-model synthetic data across biomedical research by data utility and quality, but organizes the field by those axes rather than by clinical-communication channel and pairs with no application studies</w:t>
      </w:r>
      <w:r>
        <w:rPr>
          <w:vertAlign w:val="superscript"/>
        </w:rPr>
        <w:t xml:space="preserve">[110]</w:t>
      </w:r>
      <w:r>
        <w:t xml:space="preserve">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Rao et al. [110]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Biomedical synthetic text/data; not by communication channel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4"/>
    <w:bookmarkEnd w:id="25"/>
    <w:bookmarkStart w:id="55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it; nine train a downstream model on the synthetic communication, while the adaptive diagnostic-questioning</w:t>
      </w:r>
      <w:r>
        <w:t xml:space="preserve"> </w:t>
      </w:r>
      <w:r>
        <w:t xml:space="preserve">study (Section 3.1.2) uses it as an evaluation testbed rather than for training.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8"/>
    <w:bookmarkEnd w:id="29"/>
    <w:bookmarkStart w:id="44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3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1" name="Picture"/>
            <a:graphic>
              <a:graphicData uri="http://schemas.openxmlformats.org/drawingml/2006/picture">
                <pic:pic>
                  <pic:nvPicPr>
                    <pic:cNvPr descr="figures/fig2_portal_tria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3"/>
    <w:bookmarkStart w:id="37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5" name="Picture"/>
            <a:graphic>
              <a:graphicData uri="http://schemas.openxmlformats.org/drawingml/2006/picture">
                <pic:pic>
                  <pic:nvPicPr>
                    <pic:cNvPr descr="figures/fig3_csection_confus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7"/>
    <w:bookmarkStart w:id="38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8"/>
    <w:bookmarkStart w:id="39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9"/>
    <w:bookmarkStart w:id="43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1" name="Picture"/>
            <a:graphic>
              <a:graphicData uri="http://schemas.openxmlformats.org/drawingml/2006/picture">
                <pic:pic>
                  <pic:nvPicPr>
                    <pic:cNvPr descr="figures/fig4_homecare_reca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3"/>
    <w:bookmarkEnd w:id="44"/>
    <w:bookmarkStart w:id="53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8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6" name="Picture"/>
            <a:graphic>
              <a:graphicData uri="http://schemas.openxmlformats.org/drawingml/2006/picture">
                <pic:pic>
                  <pic:nvPicPr>
                    <pic:cNvPr descr="figures/fig5_medalert_macrof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8"/>
    <w:bookmarkStart w:id="52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50" name="Picture"/>
            <a:graphic>
              <a:graphicData uri="http://schemas.openxmlformats.org/drawingml/2006/picture">
                <pic:pic>
                  <pic:nvPicPr>
                    <pic:cNvPr descr="figures/fig7_sbar_macrof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2"/>
    <w:bookmarkEnd w:id="53"/>
    <w:bookmarkStart w:id="54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4"/>
    <w:bookmarkEnd w:id="55"/>
    <w:bookmarkStart w:id="60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6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6"/>
    <w:bookmarkStart w:id="57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7"/>
    <w:bookmarkStart w:id="58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8"/>
    <w:bookmarkStart w:id="59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9"/>
    <w:bookmarkEnd w:id="60"/>
    <w:bookmarkStart w:id="61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1"/>
    <w:bookmarkStart w:id="62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2"/>
    <w:bookmarkStart w:id="64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3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5"/>
    <w:bookmarkStart w:id="66" w:name="credit-authorship-contribution-statement"/>
    <w:p>
      <w:pPr>
        <w:pStyle w:val="Heading2"/>
        <w:keepNext/>
        <w:keepLines/>
        <w:widowControl w:val="1"/>
      </w:pPr>
      <w:r>
        <w:t xml:space="preserve">CRediT authorship contribution statement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Alexander Apartsin and Yehudit Aperstein contributed equally to this work. Both authors: Conceptualization, Methodology, Software, Writing – original draft, Writing – review &amp; editing, Supervision.</w:t>
      </w:r>
    </w:p>
    <w:bookmarkEnd w:id="66"/>
    <w:bookmarkStart w:id="67" w:name="declaration-of-competing-interest"/>
    <w:p>
      <w:pPr>
        <w:pStyle w:val="Heading2"/>
        <w:keepNext/>
        <w:keepLines/>
        <w:widowControl w:val="1"/>
      </w:pPr>
      <w:r>
        <w:t xml:space="preserve">Declaration of competing interest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67"/>
    <w:bookmarkStart w:id="68" w:name="funding"/>
    <w:p>
      <w:pPr>
        <w:pStyle w:val="Heading2"/>
        <w:keepNext/>
        <w:keepLines/>
        <w:widowControl w:val="1"/>
      </w:pPr>
      <w:r>
        <w:t xml:space="preserve">Funding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research did not receive any specific grant from funding agencies in the public, commercial, or not-for-profit sectors.</w:t>
      </w:r>
    </w:p>
    <w:bookmarkEnd w:id="68"/>
    <w:bookmarkStart w:id="74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9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0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1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2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110. </w:t>
      </w:r>
      <w:r>
        <w:t xml:space="preserve">H. Rao, W. Liu, H. Wang, I.-C. Huang, Z. He, X. Huang. A Scoping Review of Synthetic Data Generation by Language Models in Biomedical Research and Application: Data Utility and Quality Perspectives.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, 10(2), 2026.</w:t>
      </w:r>
      <w:r>
        <w:t xml:space="preserve"> </w:t>
      </w:r>
      <w:hyperlink r:id="rId73">
        <w:r>
          <w:rPr>
            <w:rStyle w:val="Hyperlink"/>
          </w:rPr>
          <w:t xml:space="preserve">doi:10.1007/s41666-026-00229-9</w:t>
        </w:r>
      </w:hyperlink>
    </w:p>
    <w:bookmarkEnd w:id="74"/>
    <w:bookmarkEnd w:id="75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40" Type="http://schemas.openxmlformats.org/officeDocument/2006/relationships/image" Target="media/rId40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73" Type="http://schemas.openxmlformats.org/officeDocument/2006/relationships/hyperlink" Target="https://doi.org/10.1007/s41666-026-00229-9" TargetMode="External"/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doi.org/10.1007/s41666-026-00229-9" TargetMode="External"/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2026-08-09T07:58:56Z</dcterms:created>
  <dcterms:modified xsi:type="dcterms:W3CDTF">2026-08-09T07:58:56Z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