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Xb3a8dbe493eb8229387b81cb07551ee4828e1f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Framework, Structured Survey, and Ten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Our central contribution is an organizing framework for this emerging area: a</w:t>
      </w:r>
      <w:r>
        <w:t xml:space="preserve"> </w:t>
      </w:r>
      <w:r>
        <w:t xml:space="preserve">source-to-communication-to-model pipeline paired with a taxonomy of clinical-communication channels,</w:t>
      </w:r>
      <w:r>
        <w:t xml:space="preserve"> </w:t>
      </w:r>
      <w:r>
        <w:t xml:space="preserve">which we develop into a structured narrative survey organized by source representation, communication</w:t>
      </w:r>
      <w:r>
        <w:t xml:space="preserve"> </w:t>
      </w:r>
      <w:r>
        <w:t xml:space="preserve">form and participants, generation method, and downstream task. We instantiate and stress-test the framework through ten</w:t>
      </w:r>
      <w:r>
        <w:t xml:space="preserve"> </w:t>
      </w:r>
      <w:r>
        <w:t xml:space="preserve">application case studies that build clinical NLP systems for communication channels and languages where</w:t>
      </w:r>
      <w:r>
        <w:t xml:space="preserve"> </w:t>
      </w:r>
      <w:r>
        <w:t xml:space="preserve">labeled real-world data is scarce, restricted, or absent, spanning EMS pre-arrival reports, nurse handoffs, and 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ten studies span a graded real-world-grounding spectrum: one augments labeled real training data with</w:t>
      </w:r>
      <w:r>
        <w:t xml:space="preserve"> </w:t>
      </w:r>
      <w:r>
        <w:t xml:space="preserve">synthetic critical cases and evaluates on authentic patient-authored text (a medication-question classifier,</w:t>
      </w:r>
      <w:r>
        <w:t xml:space="preserve"> </w:t>
      </w:r>
      <w:r>
        <w:t xml:space="preserve">our real-test augmentation anchor,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result); four seed generation from real structured</w:t>
      </w:r>
      <w:r>
        <w:t xml:space="preserve"> </w:t>
      </w:r>
      <w:r>
        <w:t xml:space="preserve">data; and the rest evaluate on held-out synthetic communication. None of the ten is a pure</w:t>
      </w:r>
      <w:r>
        <w:t xml:space="preserve"> </w:t>
      </w:r>
      <w:r>
        <w:t xml:space="preserve">train-on-synthetic, test-on-real (</w:t>
      </w:r>
      <w:r>
        <w:rPr>
          <w:i/>
          <w:iCs/>
        </w:rPr>
        <w:t xml:space="preserve">S→R</w:t>
      </w:r>
      <w:r>
        <w:t xml:space="preserve">) demonstration, so establishing that evidence is the</w:t>
      </w:r>
      <w:r>
        <w:t xml:space="preserve"> </w:t>
      </w:r>
      <w:r>
        <w:t xml:space="preserve">clearly marked next step rather than a hidden gap.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pStyle w:val="Keywords"/>
        <w:jc w:val="both"/>
        <w:keepNext w:val="0"/>
        <w:keepLines w:val="0"/>
        <w:widowControl w:val="1"/>
      </w:pPr>
      <w:r>
        <w:rPr>
          <w:b/>
          <w:bCs/>
        </w:rPr>
        <w:t xml:space="preserve">Keywords:</w:t>
      </w:r>
      <w:r>
        <w:t xml:space="preserve"> </w:t>
      </w:r>
      <w:r>
        <w:t xml:space="preserve">Synthetic data; Natural language processing; Large language models; Clinical communication; Electronic health records; Data augmentation</w:t>
      </w:r>
    </w:p>
    <w:bookmarkStart w:id="12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9205"/>
            <wp:effectExtent b="0" l="0" r="0" t="0"/>
            <wp:docPr descr="Four-stage pipeline: clinical sources, LLM generation with controlled properties, synthetic clinical communication across channels, and downstream NLP evaluated by regime" title="" id="10" name="Picture"/>
            <a:graphic>
              <a:graphicData uri="http://schemas.openxmlformats.org/drawingml/2006/picture">
                <pic:pic>
                  <pic:nvPicPr>
                    <pic:cNvPr descr="figures/fig0_landsc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as a framework rather than a diagram, the pipeline exposes six decision dimensions, each of which forces</w:t>
      </w:r>
      <w:r>
        <w:t xml:space="preserve"> </w:t>
      </w:r>
      <w:r>
        <w:t xml:space="preserve">a concrete design choice: (i) </w:t>
      </w:r>
      <w:r>
        <w:rPr>
          <w:b/>
          <w:bCs/>
        </w:rPr>
        <w:t xml:space="preserve">source grounding</w:t>
      </w:r>
      <w:r>
        <w:t xml:space="preserve">, how tightly generation is tied to real records,</w:t>
      </w:r>
      <w:r>
        <w:t xml:space="preserve"> </w:t>
      </w:r>
      <w:r>
        <w:t xml:space="preserve">labels, or scenarios, which sets the ceiling on factual fidelity (Section 2.2); (ii) </w:t>
      </w:r>
      <w:r>
        <w:rPr>
          <w:b/>
          <w:bCs/>
        </w:rPr>
        <w:t xml:space="preserve">communication</w:t>
      </w:r>
      <w:r>
        <w:rPr>
          <w:b/>
          <w:bCs/>
        </w:rPr>
        <w:t xml:space="preserve"> </w:t>
      </w:r>
      <w:r>
        <w:rPr>
          <w:b/>
          <w:bCs/>
        </w:rPr>
        <w:t xml:space="preserve">channel</w:t>
      </w:r>
      <w:r>
        <w:t xml:space="preserve">, which fixes the participants, register, and failure modes to reproduce (Section 2.1);</w:t>
      </w:r>
      <w:r>
        <w:t xml:space="preserve"> </w:t>
      </w:r>
      <w:r>
        <w:t xml:space="preserve">(iii) </w:t>
      </w:r>
      <w:r>
        <w:rPr>
          <w:b/>
          <w:bCs/>
        </w:rPr>
        <w:t xml:space="preserve">controlled communication properties</w:t>
      </w:r>
      <w:r>
        <w:t xml:space="preserve">, the role, intent, uncertainty, missingness, style, and</w:t>
      </w:r>
      <w:r>
        <w:t xml:space="preserve"> </w:t>
      </w:r>
      <w:r>
        <w:t xml:space="preserve">noise deliberately injected (Section 2.2); (iv) </w:t>
      </w:r>
      <w:r>
        <w:rPr>
          <w:b/>
          <w:bCs/>
        </w:rPr>
        <w:t xml:space="preserve">generation strategy</w:t>
      </w:r>
      <w:r>
        <w:t xml:space="preserve">, from single-shot</w:t>
      </w:r>
      <w:r>
        <w:t xml:space="preserve"> </w:t>
      </w:r>
      <w:r>
        <w:t xml:space="preserve">prompting to multi-agent simulation and audio-plus-ASR degradation, traded against cost and diversity;</w:t>
      </w:r>
      <w:r>
        <w:t xml:space="preserve"> </w:t>
      </w:r>
      <w:r>
        <w:t xml:space="preserve">(v) </w:t>
      </w:r>
      <w:r>
        <w:rPr>
          <w:b/>
          <w:bCs/>
        </w:rPr>
        <w:t xml:space="preserve">downstream task</w:t>
      </w:r>
      <w:r>
        <w:t xml:space="preserve">, training, augmentation, or evaluation, which determines what labels the</w:t>
      </w:r>
      <w:r>
        <w:t xml:space="preserve"> </w:t>
      </w:r>
      <w:r>
        <w:t xml:space="preserve">generator must carry; and (vi) </w:t>
      </w:r>
      <w:r>
        <w:rPr>
          <w:b/>
          <w:bCs/>
        </w:rPr>
        <w:t xml:space="preserve">evaluation regime</w:t>
      </w:r>
      <w:r>
        <w:t xml:space="preserve">,</w:t>
      </w:r>
      <w:r>
        <w:t xml:space="preserve"> </w:t>
      </w:r>
      <w:r>
        <w:rPr>
          <w:i/>
          <w:iCs/>
        </w:rPr>
        <w:t xml:space="preserve">S→S</w:t>
      </w:r>
      <w:r>
        <w:t xml:space="preserve">,</w:t>
      </w:r>
      <w:r>
        <w:t xml:space="preserve"> </w:t>
      </w:r>
      <w:r>
        <w:rPr>
          <w:i/>
          <w:iCs/>
        </w:rPr>
        <w:t xml:space="preserve">R+S→R</w:t>
      </w:r>
      <w:r>
        <w:t xml:space="preserve">, or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(Section 2.3), which decides how far a result can be trusted. The ten application studies</w:t>
      </w:r>
      <w:r>
        <w:t xml:space="preserve"> </w:t>
      </w:r>
      <w:r>
        <w:t xml:space="preserve">(Section 3) are points in this space; the choices they share are distilled into the reusable design</w:t>
      </w:r>
      <w:r>
        <w:t xml:space="preserve"> </w:t>
      </w:r>
      <w:r>
        <w:t xml:space="preserve">patterns of Table 18 and the channel recipe at the end of Section 2.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primary contribution is an organizing framework, the source-to-communication-to-model pipeline paired</w:t>
      </w:r>
      <w:r>
        <w:t xml:space="preserve"> </w:t>
      </w:r>
      <w:r>
        <w:t xml:space="preserve">with a taxonomy of clinical-communication channels, around which a fragmented literature is unified; within</w:t>
      </w:r>
      <w:r>
        <w:t xml:space="preserve"> </w:t>
      </w:r>
      <w:r>
        <w:t xml:space="preserve">it we survey recent generation and evaluation methods, instantiate and stress-test the framework through ten</w:t>
      </w:r>
      <w:r>
        <w:t xml:space="preserve"> </w:t>
      </w:r>
      <w:r>
        <w:t xml:space="preserve">application case studies that build clinical NLP for communication channels and languages where labeled</w:t>
      </w:r>
      <w:r>
        <w:t xml:space="preserve"> </w:t>
      </w:r>
      <w:r>
        <w:t xml:space="preserve">real-world data is scarce, restricted, or absent (demonstrating feasibility where models could not otherwise</w:t>
      </w:r>
      <w:r>
        <w:t xml:space="preserve"> </w:t>
      </w:r>
      <w:r>
        <w:t xml:space="preserve">be trained), and distill from them reusable</w:t>
      </w:r>
      <w:r>
        <w:t xml:space="preserve"> </w:t>
      </w:r>
      <w:r>
        <w:t xml:space="preserve">design patterns and open problems in an emergent field. The work spans three concerns of healthcare informatics:</w:t>
      </w:r>
      <w:r>
        <w:t xml:space="preserve"> </w:t>
      </w:r>
      <w:r>
        <w:t xml:space="preserve">analytics, in the generative-AI and machine-learning methods used to produce and process clinical text;</w:t>
      </w:r>
      <w:r>
        <w:t xml:space="preserve"> </w:t>
      </w:r>
      <w:r>
        <w:t xml:space="preserve">systems, in building natural language processing for under-served communication channels; and</w:t>
      </w:r>
      <w:r>
        <w:t xml:space="preserve"> </w:t>
      </w:r>
      <w:r>
        <w:t xml:space="preserve">human-centered computing, in the clinician and patient communication these systems ultimately serve.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A concurrent scoping review in this journal surveys language-model synthetic data across biomedical research by data utility and quality, but organizes the field by those axes rather than by clinical-communication channel and pairs with no application studies</w:t>
      </w:r>
      <w:r>
        <w:rPr>
          <w:vertAlign w:val="superscript"/>
        </w:rPr>
        <w:t xml:space="preserve">[110]</w:t>
      </w:r>
      <w:r>
        <w:t xml:space="preserve">. Table 1 sets this survey against the closest prior reviews.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Rao et al. [110]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Biomedical synthetic text/data; not by communication channel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bookmarkEnd w:id="12"/>
    <w:bookmarkStart w:id="24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6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3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3"/>
    <w:bookmarkStart w:id="14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4"/>
    <w:bookmarkStart w:id="15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5"/>
    <w:bookmarkEnd w:id="16"/>
    <w:bookmarkStart w:id="21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7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7"/>
    <w:bookmarkStart w:id="18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8"/>
    <w:bookmarkStart w:id="19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19"/>
    <w:bookmarkStart w:id="20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0"/>
    <w:bookmarkEnd w:id="21"/>
    <w:bookmarkStart w:id="22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uses real-plus-synthetic</w:t>
      </w:r>
      <w:r>
        <w:t xml:space="preserve"> </w:t>
      </w:r>
      <w:r>
        <w:t xml:space="preserve">training with authentic patient-authored testing (</w:t>
      </w:r>
      <w:r>
        <w:rPr>
          <w:i/>
          <w:iCs/>
        </w:rPr>
        <w:t xml:space="preserve">R+S→R</w:t>
      </w:r>
      <w:r>
        <w:t xml:space="preserve">); none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evaluation. Of the nine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studies,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2"/>
    <w:bookmarkStart w:id="23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3"/>
    <w:bookmarkEnd w:id="24"/>
    <w:bookmarkStart w:id="54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it; nine train a downstream model on the synthetic communication, while the adaptive diagnostic-questioning</w:t>
      </w:r>
      <w:r>
        <w:t xml:space="preserve"> </w:t>
      </w:r>
      <w:r>
        <w:t xml:space="preserve">study (Section 3.1.2) uses it as an evaluation testbed rather than for training. They are illustrative rather than exhaustive, selected to span the channels of Section 2 rather than through systematic sampling.</w:t>
      </w:r>
      <w:r>
        <w:t xml:space="preserve"> </w:t>
      </w:r>
      <w:r>
        <w:t xml:space="preserve">Each builds a working system for a channel or language where</w:t>
      </w:r>
      <w:r>
        <w:t xml:space="preserve"> </w:t>
      </w:r>
      <w:r>
        <w:t xml:space="preserve">labeled real-world data is scarce or unavailable, making synthetic communication the enabling resource rather than a</w:t>
      </w:r>
      <w:r>
        <w:t xml:space="preserve"> </w:t>
      </w:r>
      <w:r>
        <w:t xml:space="preserve">mere convenience; they are worked instantiations of the framework used for cross-case synthesis, not standalone empirical studies.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Every study ships a self-contained reproduction script, and a five-seed re-run of the</w:t>
      </w:r>
      <w:r>
        <w:t xml:space="preserve"> </w:t>
      </w:r>
      <w:r>
        <w:t xml:space="preserve">reproducible pipeline confirms these metrics are stable to random seed (standard deviations typically below</w:t>
      </w:r>
      <w:r>
        <w:t xml:space="preserve"> </w:t>
      </w:r>
      <w:r>
        <w:t xml:space="preserve">0.05), so the single-run figures are a reporting choice rather than a fragile one. Table 7 summarizes all ten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28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5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 The Naïve Bayes row shows a five-seed reproduction on the shipped data (mean±SD; 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 The Naïve Bayes row shows a five-seed reproduction on the shipped data (mean±SD; 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94.0±0.9%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79.1±0.3%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79.2±0.7%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5"/>
    <w:bookmarkStart w:id="26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26"/>
    <w:bookmarkStart w:id="27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 Logistic-regression accuracy and 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 Logistic-regression accuracy and 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0.755±0.025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0.723±0.011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27"/>
    <w:bookmarkEnd w:id="28"/>
    <w:bookmarkStart w:id="43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2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0" name="Picture"/>
            <a:graphic>
              <a:graphicData uri="http://schemas.openxmlformats.org/drawingml/2006/picture">
                <pic:pic>
                  <pic:nvPicPr>
                    <pic:cNvPr descr="figures/fig2_portal_triag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32"/>
    <w:bookmarkStart w:id="36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34" name="Picture"/>
            <a:graphic>
              <a:graphicData uri="http://schemas.openxmlformats.org/drawingml/2006/picture">
                <pic:pic>
                  <pic:nvPicPr>
                    <pic:cNvPr descr="figures/fig3_csection_confus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6"/>
    <w:bookmarkStart w:id="37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37"/>
    <w:bookmarkStart w:id="38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while training combines real labeled questions with synthetic critical cases,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data, a real-plus-synthetic training, test-on-real (</w:t>
      </w:r>
      <w:r>
        <w:rPr>
          <w:i/>
          <w:iCs/>
        </w:rPr>
        <w:t xml:space="preserve">R+S→R</w:t>
      </w:r>
      <w:r>
        <w:t xml:space="preserve">) result rather than a</w:t>
      </w:r>
      <w:r>
        <w:t xml:space="preserve"> </w:t>
      </w:r>
      <w:r>
        <w:t xml:space="preserve">synthetic-only transfer test; the classical SVM baseline (0.84 accuracy, 0.80 macro-F1) isolates the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38"/>
    <w:bookmarkStart w:id="42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0.943±0.008 accuracy and 0.943±0.008 macro-F1 (five-seed reproduction on the shipped data; see the repository),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40" name="Picture"/>
            <a:graphic>
              <a:graphicData uri="http://schemas.openxmlformats.org/drawingml/2006/picture">
                <pic:pic>
                  <pic:nvPicPr>
                    <pic:cNvPr descr="figures/fig4_homecare_recal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42"/>
    <w:bookmarkEnd w:id="43"/>
    <w:bookmarkStart w:id="52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7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5" name="Picture"/>
            <a:graphic>
              <a:graphicData uri="http://schemas.openxmlformats.org/drawingml/2006/picture">
                <pic:pic>
                  <pic:nvPicPr>
                    <pic:cNvPr descr="figures/fig5_medalert_macrof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47"/>
    <w:bookmarkStart w:id="51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 Logistic-regression accuracy and class macro-F1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 Logistic-regression accuracy and class macro-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0.745±0.040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0.732±0.046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49" name="Picture"/>
            <a:graphic>
              <a:graphicData uri="http://schemas.openxmlformats.org/drawingml/2006/picture">
                <pic:pic>
                  <pic:nvPicPr>
                    <pic:cNvPr descr="figures/fig7_sbar_macrof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51"/>
    <w:bookmarkEnd w:id="52"/>
    <w:bookmarkStart w:id="53" w:name="s65"/>
    <w:p>
      <w:pPr>
        <w:pStyle w:val="Heading3"/>
        <w:keepNext/>
        <w:keepLines/>
        <w:widowControl w:val="1"/>
      </w:pPr>
      <w:r>
        <w:t xml:space="preserve">3.4  Real-World Grounding of the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external validity is the decisive question for any synthetic-data method, Table 17 states, for</w:t>
      </w:r>
      <w:r>
        <w:t xml:space="preserve"> </w:t>
      </w:r>
      <w:r>
        <w:t xml:space="preserve">each study, how much authentic data it touches and what its reported metric is measured on. The studies fall</w:t>
      </w:r>
      <w:r>
        <w:t xml:space="preserve"> </w:t>
      </w:r>
      <w:r>
        <w:t xml:space="preserve">into three real-world-grounding levels, which are not equivalent validation levels. One study evaluates its</w:t>
      </w:r>
      <w:r>
        <w:t xml:space="preserve"> </w:t>
      </w:r>
      <w:r>
        <w:t xml:space="preserve">headline metric on authentic patient-authored text: the medication-question classifier (§3.2.4) trains on</w:t>
      </w:r>
      <w:r>
        <w:t xml:space="preserve"> </w:t>
      </w:r>
      <w:r>
        <w:t xml:space="preserve">labeled real questions plus synthetic critical cases and is tested on real consumer questions, so its number is</w:t>
      </w:r>
      <w:r>
        <w:t xml:space="preserve"> </w:t>
      </w:r>
      <w:r>
        <w:t xml:space="preserve">a real-plus-synthetic training, test-on-real (</w:t>
      </w:r>
      <w:r>
        <w:rPr>
          <w:i/>
          <w:iCs/>
        </w:rPr>
        <w:t xml:space="preserve">R+S→R</w:t>
      </w:r>
      <w:r>
        <w:t xml:space="preserve">) result; it demonstrates evaluation against</w:t>
      </w:r>
      <w:r>
        <w:t xml:space="preserve"> </w:t>
      </w:r>
      <w:r>
        <w:t xml:space="preserve">authentic communication and synthetic rare-class augmentation, not transfer from synthetic-only training. Four</w:t>
      </w:r>
      <w:r>
        <w:t xml:space="preserve"> </w:t>
      </w:r>
      <w:r>
        <w:t xml:space="preserve">studies seed generation from real structured data, case distributions and diagnostic labels drawn from public</w:t>
      </w:r>
      <w:r>
        <w:t xml:space="preserve"> </w:t>
      </w:r>
      <w:r>
        <w:t xml:space="preserve">datasets or de-identified records (Symptom2Disease, the Symptom-Disease Prediction Dataset, MIMIC-IV-ED, and</w:t>
      </w:r>
      <w:r>
        <w:t xml:space="preserve"> </w:t>
      </w:r>
      <w:r>
        <w:t xml:space="preserve">MIMIC-IV-Ext), so their labels and clinical content are anchored in reality even though the communication text</w:t>
      </w:r>
      <w:r>
        <w:t xml:space="preserve"> </w:t>
      </w:r>
      <w:r>
        <w:t xml:space="preserve">and the test set are synthetic. The remaining five studies are fully synthetic in source, text, and test. None</w:t>
      </w:r>
      <w:r>
        <w:t xml:space="preserve"> </w:t>
      </w:r>
      <w:r>
        <w:t xml:space="preserve">of the ten provides a pure train-on-synthetic, test-on-real (</w:t>
      </w:r>
      <w:r>
        <w:rPr>
          <w:i/>
          <w:iCs/>
        </w:rPr>
        <w:t xml:space="preserve">S→R</w:t>
      </w:r>
      <w:r>
        <w:t xml:space="preserve">) evaluation; stating this</w:t>
      </w:r>
      <w:r>
        <w:t xml:space="preserve"> </w:t>
      </w:r>
      <w:r>
        <w:t xml:space="preserve">explicitly is deliberate, because it shows the survey demonstrates channel feasibility broadly while genuine</w:t>
      </w:r>
      <w:r>
        <w:t xml:space="preserve"> </w:t>
      </w:r>
      <w:r>
        <w:t xml:space="preserve">synthetic-only real-text validation is the boundary Section 4 examines and the frontier Section 5 prioritizes.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Real-world grounding of the ten application studies: the authentic data each uses and the provenance of the text on which its reported metric is measured. No study provides a pure S→R (synthetic-only training, real testing) evaluation.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al-world grounding of the ten application studies: the authentic data each uses and the provenance of the text on which its reported metric is measured. No study provides a pure S→R (synthetic-only training, real testing) evalu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Authentic data used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 tested 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Regime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Symptom-Disease Prediction Dataset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Symptom2Disease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MIMIC-IV-ED labels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labeled corpus for training and testing; synthetic critical cases added to training only (MedInfo2019)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Real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(authentic patient text)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9"/>
              </w:rPr>
              <w:t xml:space="preserve">R+S→R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MIMIC-IV-Ext cases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</w:tbl>
    <w:bookmarkEnd w:id="53"/>
    <w:bookmarkEnd w:id="54"/>
    <w:bookmarkStart w:id="59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5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5"/>
    <w:bookmarkStart w:id="56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 In</w:t>
      </w:r>
      <w:r>
        <w:t xml:space="preserve"> </w:t>
      </w:r>
      <w:r>
        <w:t xml:space="preserve">the studies reported here no identifiable patient data was used: generators were seeded either from public</w:t>
      </w:r>
      <w:r>
        <w:t xml:space="preserve"> </w:t>
      </w:r>
      <w:r>
        <w:t xml:space="preserve">datasets or de-identified records, and the resulting communication describes no real individual, which is the</w:t>
      </w:r>
      <w:r>
        <w:t xml:space="preserve"> </w:t>
      </w:r>
      <w:r>
        <w:t xml:space="preserve">concrete form the privacy argument takes across this survey.</w:t>
      </w:r>
    </w:p>
    <w:bookmarkEnd w:id="56"/>
    <w:bookmarkStart w:id="57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7"/>
    <w:bookmarkStart w:id="58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follows a narrative, scoping-style approach: relevant work was</w:t>
      </w:r>
      <w:r>
        <w:t xml:space="preserve"> </w:t>
      </w:r>
      <w:r>
        <w:t xml:space="preserve">identified through iterative database and citation-chaining search and organized by clinical-communication</w:t>
      </w:r>
      <w:r>
        <w:t xml:space="preserve"> </w:t>
      </w:r>
      <w:r>
        <w:t xml:space="preserve">channel, rather than through a preregistered systematic protocol with exhaustive, reproducible coverage, and</w:t>
      </w:r>
      <w:r>
        <w:t xml:space="preserve"> </w:t>
      </w:r>
      <w:r>
        <w:t xml:space="preserve">fast-moving preprint work will 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8"/>
    <w:bookmarkEnd w:id="59"/>
    <w:bookmarkStart w:id="60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0"/>
    <w:bookmarkStart w:id="61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18)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19)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case whose</w:t>
      </w:r>
      <w:r>
        <w:t xml:space="preserve"> </w:t>
      </w:r>
      <w:r>
        <w:t xml:space="preserve">classifier trains on real labeled questions plus synthetic rare-class augmentation and is tested on authentic</w:t>
      </w:r>
      <w:r>
        <w:t xml:space="preserve"> </w:t>
      </w:r>
      <w:r>
        <w:t xml:space="preserve">patient-authored questions; one further study grounds generation in real clinical records, tracing EMS routing to MIMIC-IV cases (Section 3.3.1). No study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test.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1"/>
    <w:bookmarkStart w:id="63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2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Each study's reproducible pipeline can be re-run across random seeds through a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control, and a five-seed sweep confirms the reproduced metrics are stable to seed, with standard deviations typically below 0.05; the per-seed results ship with the code.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To make each headline result auditable at a glance, Table 20 records, per study, the generator that</w:t>
      </w:r>
      <w:r>
        <w:t xml:space="preserve"> </w:t>
      </w:r>
      <w:r>
        <w:t xml:space="preserve">produced the synthetic communication, the downstream model whose result is reported, the train/test split and</w:t>
      </w:r>
      <w:r>
        <w:t xml:space="preserve"> </w:t>
      </w:r>
      <w:r>
        <w:t xml:space="preserve">random seed, and the evaluation regime, together with what ships for reproduction. A five-seed sweep of the</w:t>
      </w:r>
      <w:r>
        <w:t xml:space="preserve"> </w:t>
      </w:r>
      <w:r>
        <w:t xml:space="preserve">reproducible pipeline (the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 above) and its per-seed values are recorded in</w:t>
      </w:r>
      <w:r>
        <w:t xml:space="preserve"> </w:t>
      </w:r>
      <w:r>
        <w:rPr>
          <w:rStyle w:val="VerbatimChar"/>
        </w:rPr>
        <w:t xml:space="preserve">CaseStudies/reproducibility_seed_stability.json</w:t>
      </w:r>
      <w:r>
        <w:t xml:space="preserve"> </w:t>
      </w:r>
      <w:r>
        <w:t xml:space="preserve">and summarized in</w:t>
      </w:r>
      <w:r>
        <w:t xml:space="preserve"> </w:t>
      </w:r>
      <w:r>
        <w:rPr>
          <w:rStyle w:val="VerbatimChar"/>
        </w:rPr>
        <w:t xml:space="preserve">CaseStudies/REPRODUCE.md</w:t>
      </w:r>
      <w:r>
        <w:t xml:space="preserve">, which also flags the studies that ship a size-capped sample rather than</w:t>
      </w:r>
      <w:r>
        <w:t xml:space="preserve"> </w:t>
      </w:r>
      <w:r>
        <w:t xml:space="preserve">the full corpus.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20.</w:t>
      </w:r>
      <w:r>
        <w:rPr>
          <w:b w:val="0"/>
          <w:i/>
        </w:rPr>
        <w:t xml:space="preserve"> </w:t>
      </w:r>
      <w:r>
        <w:rPr>
          <w:b w:val="0"/>
          <w:i/>
        </w:rPr>
        <w:t>Per-study reproduction provenance: generator, downstream model, split and seed, evaluation regime, and what ships. Splits are stratified 80/20 unless noted. Every study ships a self-contained reproduce.py; “sample” marks a study that ships a size-capped subset (see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0. Per-study reproduction provenance: generator, downstream model, split and seed, evaluation regime, and what ships. Splits are stratified 80/20 unless noted. Every study ships a self-contained reproduce.py; “sample” marks a study that ships a size-capped subset (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Generator (LLM)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Headline downstream 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Split / seed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Regime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Ships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LLM questioning benchmark (no trained classifier)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n/a (benchmark)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data + reproduce.py (metric re-eval)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FLAN-T5 (vs BERT, ClinicalBERT, NB)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 (MIMIC-IV-ED-seeded)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(vs LR, T5)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Qwen2.5-0.5B (local)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heads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GPT-4o-mini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BioBERT cascade (vs Bi-LSTM)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12345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Gemma2-27B (local)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(vs TF-IDF+LR)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fixed shipped split,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BioBERT / BlueBERT (vs SVM)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8"/>
              </w:rPr>
              <w:t xml:space="preserve">R+S→R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real labels + synthetic augmentation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LightGBM (TF-IDF + vitals fusion)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GPT-4.1-mini (MIMIC-IV-Ext,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OpenAI batch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BioClinicalBERT / hierarchical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4"/>
    <w:bookmarkStart w:id="65" w:name="statements-and-declarations"/>
    <w:p>
      <w:pPr>
        <w:pStyle w:val="Heading2"/>
        <w:keepNext/>
        <w:keepLines/>
        <w:widowControl w:val="1"/>
      </w:pPr>
      <w:r>
        <w:t xml:space="preserve">Statements and Declarations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Funding.</w:t>
      </w:r>
      <w:r>
        <w:t xml:space="preserve"> </w:t>
      </w:r>
      <w:r>
        <w:t xml:space="preserve">The authors did not receive support from any organization for the submitted work.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The authors have no relevant financial or non-financial interests to disclose.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Data availability.</w:t>
      </w:r>
      <w:r>
        <w:t xml:space="preserve"> </w:t>
      </w:r>
      <w:r>
        <w:t xml:space="preserve">The datasets and reproduction code are publicly available on Zenodo (doi:10.5281/zenodo.21820227) and on GitHub.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Alexander Apartsin and Yehudit Aperstein contributed equally to this work. Both authors conceived and designed the study, performed the analysis, and wrote, reviewed, and edited the manuscript; both approved the final version.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Ethics approval.</w:t>
      </w:r>
      <w:r>
        <w:t xml:space="preserve"> </w:t>
      </w:r>
      <w:r>
        <w:t xml:space="preserve">Not applicable. The study uses LLM-generated synthetic data and publicly available datasets; it involves no human participants or identifiable patient data.</w:t>
      </w:r>
    </w:p>
    <w:bookmarkEnd w:id="65"/>
    <w:bookmarkStart w:id="71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6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67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68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69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110. </w:t>
      </w:r>
      <w:r>
        <w:t xml:space="preserve">H. Rao, W. Liu, H. Wang, I.-C. Huang, Z. He, X. Huang. A Scoping Review of Synthetic Data Generation by Language Models in Biomedical Research and Application: Data Utility and Quality Perspectives.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, 10(2), 2026.</w:t>
      </w:r>
      <w:r>
        <w:t xml:space="preserve"> </w:t>
      </w:r>
      <w:hyperlink r:id="rId70">
        <w:r>
          <w:rPr>
            <w:rStyle w:val="Hyperlink"/>
          </w:rPr>
          <w:t xml:space="preserve">doi:10.1007/s41666-026-00229-9</w:t>
        </w:r>
      </w:hyperlink>
    </w:p>
    <w:bookmarkEnd w:id="71"/>
    <w:bookmarkEnd w:id="72"/>
    <w:sectPr w:rsidR="00FC693F" w:rsidRPr="0006063C" w:rsidSect="00034616">
      <w:footerReference w:type="default" r:id="rId10"/>
      <w:pgSz w:h="15840" w:w="12240"/>
      <w:pgMar w:bottom="1440" w:footer="720" w:gutter="0" w:header="720" w:left="1440" w:right="1440" w:top="1440"/>
      <w:lnNumType w:countBy="1" w:start="1" w:restart="continuous" w:distance="36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480" w:lineRule="auto"/>
    </w:pPr>
    <w:rPr>
      <w:rFonts w:ascii="Times New Roman" w:hAnsi="Times New Roman"/>
      <w:b w:val="0"/>
      <w:i w:val="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480" w:lineRule="auto"/>
      <w:ind w:firstLine="720"/>
      <w:jc w:val="both"/>
    </w:pPr>
    <w:rPr>
      <w:rFonts w:ascii="Times New Roman" w:hAnsi="Times New Roman"/>
      <w:b w:val="0"/>
      <w:i w:val="0"/>
      <w:sz w:val="24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480" w:lineRule="auto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4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4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39" Type="http://schemas.openxmlformats.org/officeDocument/2006/relationships/image" Target="media/rId39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70" Type="http://schemas.openxmlformats.org/officeDocument/2006/relationships/hyperlink" Target="https://doi.org/10.1007/s41666-026-00229-9" TargetMode="External"/><Relationship Id="rId62" Type="http://schemas.openxmlformats.org/officeDocument/2006/relationships/hyperlink" Target="https://doi.org/10.5281/zenodo.21820227" TargetMode="External"/><Relationship Id="rId66" Type="http://schemas.openxmlformats.org/officeDocument/2006/relationships/hyperlink" Target="https://doi.org/10.7910/DVN/CG9X6D" TargetMode="External"/><Relationship Id="rId67" Type="http://schemas.openxmlformats.org/officeDocument/2006/relationships/hyperlink" Target="https://www.candello.com/Insights/Candello-Reports" TargetMode="External"/><Relationship Id="rId68" Type="http://schemas.openxmlformats.org/officeDocument/2006/relationships/hyperlink" Target="https://www.jointcommission.org/resources/sentinel-event/sentinel-event-data-summary/" TargetMode="External"/><Relationship Id="rId69" Type="http://schemas.openxmlformats.org/officeDocument/2006/relationships/hyperlink" Target="https://www.kaggle.com/datasets/niyarrbarman/symptom2disease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70" Type="http://schemas.openxmlformats.org/officeDocument/2006/relationships/hyperlink" Target="https://doi.org/10.1007/s41666-026-00229-9" TargetMode="External"/><Relationship Id="rId62" Type="http://schemas.openxmlformats.org/officeDocument/2006/relationships/hyperlink" Target="https://doi.org/10.5281/zenodo.21820227" TargetMode="External"/><Relationship Id="rId66" Type="http://schemas.openxmlformats.org/officeDocument/2006/relationships/hyperlink" Target="https://doi.org/10.7910/DVN/CG9X6D" TargetMode="External"/><Relationship Id="rId67" Type="http://schemas.openxmlformats.org/officeDocument/2006/relationships/hyperlink" Target="https://www.candello.com/Insights/Candello-Reports" TargetMode="External"/><Relationship Id="rId68" Type="http://schemas.openxmlformats.org/officeDocument/2006/relationships/hyperlink" Target="https://www.jointcommission.org/resources/sentinel-event/sentinel-event-data-summary/" TargetMode="External"/><Relationship Id="rId69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2026-08-09T07:58:59Z</dcterms:created>
  <dcterms:modified xsi:type="dcterms:W3CDTF">2026-08-09T07:58:59Z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