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3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</w:t>
      </w:r>
    </w:p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1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2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3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4.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As Section 3 makes explicit, almost all of</w:t>
      </w:r>
      <w:r>
        <w:t xml:space="preserve"> </w:t>
      </w:r>
      <w:r>
        <w:t xml:space="preserve">the application studies surveyed here operate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regime, which is why transfer to</w:t>
      </w:r>
      <w:r>
        <w:t xml:space="preserve"> </w:t>
      </w:r>
      <w:r>
        <w:t xml:space="preserve">authentic communication remains the field's central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5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4"/>
    <w:bookmarkEnd w:id="25"/>
    <w:bookmarkStart w:id="6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Table 6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7);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8)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9).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8"/>
    <w:bookmarkEnd w:id="29"/>
    <w:bookmarkStart w:id="34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3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10,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31" name="Picture"/>
            <a:graphic>
              <a:graphicData uri="http://schemas.openxmlformats.org/drawingml/2006/picture">
                <pic:pic>
                  <pic:nvPicPr>
                    <pic:cNvPr descr="figures/fig1_crosslingual_f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3"/>
    <w:bookmarkEnd w:id="34"/>
    <w:bookmarkStart w:id="50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8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6" name="Picture"/>
            <a:graphic>
              <a:graphicData uri="http://schemas.openxmlformats.org/drawingml/2006/picture">
                <pic:pic>
                  <pic:nvPicPr>
                    <pic:cNvPr descr="figures/fig2_portal_tria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40" name="Picture"/>
            <a:graphic>
              <a:graphicData uri="http://schemas.openxmlformats.org/drawingml/2006/picture">
                <pic:pic>
                  <pic:nvPicPr>
                    <pic:cNvPr descr="figures/fig3_csection_con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2"/>
    <w:bookmarkStart w:id="43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13);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3"/>
    <w:bookmarkStart w:id="44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14).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4"/>
    <w:bookmarkStart w:id="45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15);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5"/>
    <w:bookmarkStart w:id="49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7" name="Picture"/>
            <a:graphic>
              <a:graphicData uri="http://schemas.openxmlformats.org/drawingml/2006/picture">
                <pic:pic>
                  <pic:nvPicPr>
                    <pic:cNvPr descr="figures/fig4_homecare_rec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9"/>
    <w:bookmarkEnd w:id="50"/>
    <w:bookmarkStart w:id="63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4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16,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2" name="Picture"/>
            <a:graphic>
              <a:graphicData uri="http://schemas.openxmlformats.org/drawingml/2006/picture">
                <pic:pic>
                  <pic:nvPicPr>
                    <pic:cNvPr descr="figures/fig5_medalert_macrof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4"/>
    <w:bookmarkStart w:id="58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17,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6" name="Picture"/>
            <a:graphic>
              <a:graphicData uri="http://schemas.openxmlformats.org/drawingml/2006/picture">
                <pic:pic>
                  <pic:nvPicPr>
                    <pic:cNvPr descr="figures/fig6_casualty_reconstru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8"/>
    <w:bookmarkStart w:id="62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18,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60" name="Picture"/>
            <a:graphic>
              <a:graphicData uri="http://schemas.openxmlformats.org/drawingml/2006/picture">
                <pic:pic>
                  <pic:nvPicPr>
                    <pic:cNvPr descr="figures/fig7_sbar_macrof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2"/>
    <w:bookmarkEnd w:id="63"/>
    <w:bookmarkEnd w:id="64"/>
    <w:bookmarkStart w:id="6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5"/>
    <w:bookmarkStart w:id="6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6"/>
    <w:bookmarkStart w:id="6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7"/>
    <w:bookmarkEnd w:id="68"/>
    <w:bookmarkStart w:id="6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9"/>
    <w:bookmarkStart w:id="7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19)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They come, however, with an unmistakable caveat.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0"/>
    <w:bookmarkStart w:id="7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2"/>
    <w:bookmarkStart w:id="7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3"/>
    <w:bookmarkStart w:id="7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S. Nayak et al.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bookmarkEnd w:id="78"/>
    <w:bookmarkEnd w:id="79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2026-08-06T09:47:56Z</dcterms:created>
  <dcterms:modified xsi:type="dcterms:W3CDTF">2026-08-06T09:47:56Z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