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9973f8a238724931489ceba3674175793b6a264"/>
    <w:p>
      <w:pPr>
        <w:pStyle w:val="Title"/>
        <w:spacing w:before="0" w:after="160"/>
        <w:jc w:val="center"/>
        <w:keepNext/>
        <w:keepLines/>
        <w:widowControl w:val="1"/>
      </w:pPr>
      <w:r>
        <w:t xml:space="preserve">Clinical Communication Processing with LLM-Generated Synthetic Data: A Framework, Structured Review,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sz w:val="24"/>
          <w:vertAlign w:val="superscript"/>
        </w:rPr>
        <w:t xml:space="preserve">1</w:t>
      </w:r>
      <w:r>
        <w:rPr>
          <w:rFonts w:ascii="Times New Roman" w:hAnsi="Times New Roman"/>
          <w:b/>
          <w:i w:val="0"/>
          <w:sz w:val="24"/>
        </w:rPr>
        <w:t xml:space="preserve">   Yehudit Aperstein</w:t>
      </w:r>
      <w:r>
        <w:rPr>
          <w:rFonts w:ascii="Times New Roman" w:hAnsi="Times New Roman"/>
          <w:b/>
          <w:i w:val="0"/>
          <w:sz w:val="24"/>
          <w:vertAlign w:val="superscript"/>
        </w:rPr>
        <w:t xml:space="preserve">2</w:t>
      </w:r>
    </w:p>
    <w:p>
      <w:pPr>
        <w:pStyle w:val="BodyText"/>
        <w:jc w:val="both"/>
        <w:keepNext w:val="0"/>
        <w:keepLines w:val="0"/>
        <w:widowControl w:val="1"/>
      </w:pPr>
      <w:r>
        <w:rPr>
          <w:vertAlign w:val="superscript"/>
        </w:rPr>
        <w:t xml:space="preserve">1</w:t>
      </w:r>
      <w:r>
        <w:t xml:space="preserve"> School of Computer Science, Faculty of Sciences, Holon Institute of Technology (HIT), Holon, Israel</w:t>
      </w:r>
      <w:r>
        <w:t xml:space="preserve"> </w:t>
      </w:r>
      <w:r>
        <w:t xml:space="preserve"> · </w:t>
      </w:r>
      <w:r>
        <w:t xml:space="preserve"> </w:t>
      </w:r>
      <w:r>
        <w:rPr>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controlled communication properties, generation strategy, downstream task,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in one case study, adding deliberately degraded synthetic variants improved performance on held-out noisy synthetic data.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vertAlign w:val="superscript"/>
        </w:rPr>
        <w:t xml:space="preserve">[1]</w:t>
      </w:r>
      <w:r>
        <w:t xml:space="preserve">, and a large share of the electronic health record is free text whose</w:t>
      </w:r>
      <w:r>
        <w:t xml:space="preserve"> </w:t>
      </w:r>
      <w:r>
        <w:t xml:space="preserve">notes materially improve prediction and phenotyping</w:t>
      </w:r>
      <w:r>
        <w:rPr>
          <w:vertAlign w:val="superscript"/>
        </w:rPr>
        <w:t xml:space="preserve">[2]</w:t>
      </w:r>
      <w:r>
        <w:t xml:space="preserve">. This communicative layer is</w:t>
      </w:r>
      <w:r>
        <w:t xml:space="preserve"> </w:t>
      </w:r>
      <w:r>
        <w:t xml:space="preserve">also fragile: communication failures are among the leading contributors to sentinel events</w:t>
      </w:r>
      <w:r>
        <w:rPr>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vertAlign w:val="superscript"/>
        </w:rPr>
        <w:t xml:space="preserve">[4]</w:t>
      </w:r>
      <w:r>
        <w:t xml:space="preserve">. Information is routinely lost at paramedic-to-emergency-department</w:t>
      </w:r>
      <w:r>
        <w:t xml:space="preserve"> </w:t>
      </w:r>
      <w:r>
        <w:t xml:space="preserve">handover</w:t>
      </w:r>
      <w:r>
        <w:rPr>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vertAlign w:val="superscript"/>
        </w:rPr>
        <w:t xml:space="preserve">[6]</w:t>
      </w:r>
      <w:r>
        <w:t xml:space="preserve">. As patient-portal messaging surges and adds to</w:t>
      </w:r>
      <w:r>
        <w:t xml:space="preserve"> </w:t>
      </w:r>
      <w:r>
        <w:t xml:space="preserve">documentation burden</w:t>
      </w:r>
      <w:r>
        <w:rPr>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review.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review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vertAlign w:val="superscript"/>
        </w:rPr>
        <w:t xml:space="preserve">[17,18,19,20]</w:t>
      </w:r>
      <w:r>
        <w:t xml:space="preserve">, doctor-to-patient instructions,</w:t>
      </w:r>
      <w:r>
        <w:t xml:space="preserve"> </w:t>
      </w:r>
      <w:r>
        <w:t xml:space="preserve">telemedicine, EMS and SBAR handoff, emergency dispatch</w:t>
      </w:r>
      <w:r>
        <w:rPr>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vertAlign w:val="superscript"/>
        </w:rPr>
        <w:t xml:space="preserve">[11]</w:t>
      </w:r>
      <w:r>
        <w:t xml:space="preserve">. Table 1 sets this review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Among the reviews we identified, none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Among the reviews we identified, none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 [12]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 [15]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 [14]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 [23]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 [11]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review</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Searches were last updated in June 2026; representative query families combined a clinical-communication term (clinical dialogue, patient-portal message, triage note, handoff, SBAR, EMS report) with a synthesis term (LLM-generated, synthetic, GPT-generated) and a task term (classification, NLP, benchmark).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vertAlign w:val="superscript"/>
        </w:rPr>
        <w:t xml:space="preserve">[24,18,19,25]</w:t>
      </w:r>
      <w:r>
        <w:t xml:space="preserve">,</w:t>
      </w:r>
      <w:r>
        <w:t xml:space="preserve"> </w:t>
      </w:r>
      <w:r>
        <w:t xml:space="preserve">are now moving into practice as clinician-facing scribes</w:t>
      </w:r>
      <w:r>
        <w:rPr>
          <w:vertAlign w:val="superscript"/>
        </w:rPr>
        <w:t xml:space="preserve">[26]</w:t>
      </w:r>
      <w:r>
        <w:t xml:space="preserve">. Information extraction</w:t>
      </w:r>
      <w:r>
        <w:t xml:space="preserve"> </w:t>
      </w:r>
      <w:r>
        <w:t xml:space="preserve">has been applied to paramedic narratives</w:t>
      </w:r>
      <w:r>
        <w:rPr>
          <w:vertAlign w:val="superscript"/>
        </w:rPr>
        <w:t xml:space="preserve">[27]</w:t>
      </w:r>
      <w:r>
        <w:t xml:space="preserve"> </w:t>
      </w:r>
      <w:r>
        <w:t xml:space="preserve">and, in emergency medicine more</w:t>
      </w:r>
      <w:r>
        <w:t xml:space="preserve"> </w:t>
      </w:r>
      <w:r>
        <w:t xml:space="preserve">broadly, is the subject of dedicated reviews</w:t>
      </w:r>
      <w:r>
        <w:rPr>
          <w:vertAlign w:val="superscript"/>
        </w:rPr>
        <w:t xml:space="preserve">[28,29]</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vertAlign w:val="superscript"/>
        </w:rPr>
        <w:t xml:space="preserve">[30,31]</w:t>
      </w:r>
      <w:r>
        <w:t xml:space="preserve">; and patient-portal messages are increasingly triaged and routed</w:t>
      </w:r>
      <w:r>
        <w:t xml:space="preserve"> </w:t>
      </w:r>
      <w:r>
        <w:t xml:space="preserve">automatically</w:t>
      </w:r>
      <w:r>
        <w:rPr>
          <w:vertAlign w:val="superscript"/>
        </w:rPr>
        <w:t xml:space="preserve">[32]</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review,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 characteristic linguistic, operational, and noise patterns.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vertAlign w:val="superscript"/>
        </w:rPr>
        <w:t xml:space="preserve">[24]</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vertAlign w:val="superscript"/>
        </w:rPr>
        <w:t xml:space="preserve">[18]</w:t>
      </w:r>
      <w:r>
        <w:t xml:space="preserve">,</w:t>
      </w:r>
      <w:r>
        <w:t xml:space="preserve"> </w:t>
      </w:r>
      <w:r>
        <w:t xml:space="preserve">MTS-Dialog</w:t>
      </w:r>
      <w:r>
        <w:rPr>
          <w:vertAlign w:val="superscript"/>
        </w:rPr>
        <w:t xml:space="preserve">[19]</w:t>
      </w:r>
      <w:r>
        <w:t xml:space="preserve">, and the mock consultations of PriMock57</w:t>
      </w:r>
      <w:r>
        <w:rPr>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 much lower consent and de-identification burdens, subject to source provenance, memorization risk, and data governance.</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synthetically oversampled to reduce class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vertAlign w:val="superscript"/>
        </w:rPr>
        <w:t xml:space="preserve">[33]</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encourages consistently structured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vertAlign w:val="superscript"/>
        </w:rPr>
        <w:t xml:space="preserve">[17,34,35,36,37]</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vertAlign w:val="superscript"/>
        </w:rPr>
        <w:t xml:space="preserve">[38]</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vertAlign w:val="superscript"/>
        </w:rPr>
        <w:t xml:space="preserve">[39,40]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simulation to realize the interaction,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vertAlign w:val="superscript"/>
        </w:rPr>
        <w:t xml:space="preserve">[41]</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vertAlign w:val="superscript"/>
        </w:rPr>
        <w:t xml:space="preserve">[42]</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vertAlign w:val="superscript"/>
        </w:rPr>
        <w:t xml:space="preserve">[43]</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vertAlign w:val="superscript"/>
        </w:rPr>
        <w:t xml:space="preserve">[44]</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review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vertAlign w:val="superscript"/>
        </w:rPr>
        <w:t xml:space="preserve">[22]</w:t>
      </w:r>
      <w:r>
        <w:t xml:space="preserve">, which motivates</w:t>
      </w:r>
      <w:r>
        <w:t xml:space="preserve"> </w:t>
      </w:r>
      <w:r>
        <w:t xml:space="preserve">dedicated privacy-and-utility metrics for medical synthetic data</w:t>
      </w:r>
      <w:r>
        <w:rPr>
          <w:vertAlign w:val="superscript"/>
        </w:rPr>
        <w:t xml:space="preserve">[45]</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vertAlign w:val="superscript"/>
        </w:rPr>
        <w:t xml:space="preserve">[46]</w:t>
      </w:r>
      <w:r>
        <w:t xml:space="preserve">, a setting also studied for noisy user-generated and</w:t>
      </w:r>
      <w:r>
        <w:t xml:space="preserve"> </w:t>
      </w:r>
      <w:r>
        <w:t xml:space="preserve">conversational text</w:t>
      </w:r>
      <w:r>
        <w:rPr>
          <w:vertAlign w:val="superscript"/>
        </w:rPr>
        <w:t xml:space="preserve">[47,48]</w:t>
      </w:r>
      <w:r>
        <w:t xml:space="preserve">; comparing text content through a question-answering</w:t>
      </w:r>
      <w:r>
        <w:t xml:space="preserve"> </w:t>
      </w:r>
      <w:r>
        <w:t xml:space="preserve">lens</w:t>
      </w:r>
      <w:r>
        <w:rPr>
          <w:vertAlign w:val="superscript"/>
        </w:rPr>
        <w:t xml:space="preserve">[49]</w:t>
      </w:r>
      <w:r>
        <w:t xml:space="preserve">, as in QA- and NLI-based consistency checking</w:t>
      </w:r>
      <w:r>
        <w:rPr>
          <w:vertAlign w:val="superscript"/>
        </w:rPr>
        <w:t xml:space="preserve">[50,51,52]</w:t>
      </w:r>
      <w:r>
        <w:t xml:space="preserve">;</w:t>
      </w:r>
      <w:r>
        <w:t xml:space="preserve"> </w:t>
      </w:r>
      <w:r>
        <w:t xml:space="preserve">extracting critical information from noisy transcribed communications</w:t>
      </w:r>
      <w:r>
        <w:rPr>
          <w:vertAlign w:val="superscript"/>
        </w:rPr>
        <w:t xml:space="preserve">[53]</w:t>
      </w:r>
      <w:r>
        <w:t xml:space="preserve">, paralleling</w:t>
      </w:r>
      <w:r>
        <w:t xml:space="preserve"> </w:t>
      </w:r>
      <w:r>
        <w:t xml:space="preserve">slot-filling from air-traffic and other radio speech</w:t>
      </w:r>
      <w:r>
        <w:rPr>
          <w:vertAlign w:val="superscript"/>
        </w:rPr>
        <w:t xml:space="preserve">[54,55]</w:t>
      </w:r>
      <w:r>
        <w:t xml:space="preserve">; and measuring the</w:t>
      </w:r>
      <w:r>
        <w:t xml:space="preserve"> </w:t>
      </w:r>
      <w:r>
        <w:t xml:space="preserve">efficiency of diagnostic questioning</w:t>
      </w:r>
      <w:r>
        <w:rPr>
          <w:vertAlign w:val="superscript"/>
        </w:rPr>
        <w:t xml:space="preserve">[56]</w:t>
      </w:r>
      <w:r>
        <w:t xml:space="preserve">, a problem with a deep line in symptom-</w:t>
      </w:r>
      <w:r>
        <w:t xml:space="preserve"> </w:t>
      </w:r>
      <w:r>
        <w:t xml:space="preserve">checking and information-seeking clinical dialogue</w:t>
      </w:r>
      <w:r>
        <w:rPr>
          <w:vertAlign w:val="superscript"/>
        </w:rPr>
        <w:t xml:space="preserve">[57,58,59,60]</w:t>
      </w:r>
      <w:r>
        <w:t xml:space="preserve">. Even aspect-based</w:t>
      </w:r>
      <w:r>
        <w:t xml:space="preserve"> </w:t>
      </w:r>
      <w:r>
        <w:t xml:space="preserve">sentiment, developed as a controlled synthetic benchmark in the education domain</w:t>
      </w:r>
      <w:r>
        <w:rPr>
          <w:vertAlign w:val="superscript"/>
        </w:rPr>
        <w:t xml:space="preserve">[61]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[62], [53], [46], [47], [48], [54], [55], [63], [43]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[16], [17], [18], [19], [20], [50], [51], [64], [25], [65]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[66], [67]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[56], [68], [57], [58], [59], [60] ·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[49], [69], [50], [51], [52]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[70], [21], [71], [72], [73] ·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[74] ·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[75], [76], [77], [78], [79], [80], [81], [82], [83], [84], [34], [85], [36], [37]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[66], [86], [75], [61], [87], [88], [89], [90], [91] ·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 [67], [22], [45], [40], [63], [92], [93], [43], [94], [95], [96] ·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seven of the</w:t>
      </w:r>
      <w:r>
        <w:t xml:space="preserve"> </w:t>
      </w:r>
      <w:r>
        <w:t xml:space="preserve">ten studies fall within the patient-messaging, pre-hospital, and handoff groups,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demonstrate feasibility within the synthetic evaluation setting,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vertAlign w:val="superscript"/>
        </w:rPr>
        <w:t xml:space="preserve">[34,85,36]</w:t>
      </w:r>
      <w:r>
        <w:t xml:space="preserve"> </w:t>
      </w:r>
      <w:r>
        <w:t xml:space="preserve">and generates synthetic dialogue from notes for</w:t>
      </w:r>
      <w:r>
        <w:t xml:space="preserve"> </w:t>
      </w:r>
      <w:r>
        <w:t xml:space="preserve">ambient scribing</w:t>
      </w:r>
      <w:r>
        <w:rPr>
          <w:vertAlign w:val="superscript"/>
        </w:rPr>
        <w:t xml:space="preserve">[64,17]</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vertAlign w:val="superscript"/>
        </w:rPr>
        <w:t xml:space="preserve">[97]</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vertAlign w:val="superscript"/>
        </w:rPr>
        <w:t xml:space="preserve">[68]</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vertAlign w:val="superscript"/>
        </w:rPr>
        <w:t xml:space="preserve">[59]</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vertAlign w:val="superscript"/>
        </w:rPr>
        <w:t xml:space="preserve">[56]</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vertAlign w:val="superscript"/>
        </w:rPr>
        <w:t xml:space="preserve">[98]</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vertAlign w:val="superscript"/>
        </w:rPr>
        <w:t xml:space="preserve">[72]</w:t>
      </w:r>
      <w:r>
        <w:t xml:space="preserve">, and as a triage and routing</w:t>
      </w:r>
      <w:r>
        <w:t xml:space="preserve"> </w:t>
      </w:r>
      <w:r>
        <w:t xml:space="preserve">problem</w:t>
      </w:r>
      <w:r>
        <w:rPr>
          <w:vertAlign w:val="superscript"/>
        </w:rPr>
        <w:t xml:space="preserve">[73]</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vertAlign w:val="superscript"/>
        </w:rPr>
        <w:t xml:space="preserve">[99]</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we identified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vertAlign w:val="superscript"/>
        </w:rPr>
        <w:t xml:space="preserve">[70]</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vertAlign w:val="superscript"/>
        </w:rPr>
        <w:t xml:space="preserve">[35]</w:t>
      </w:r>
      <w:r>
        <w:t xml:space="preserve">, dispatch</w:t>
      </w:r>
      <w:r>
        <w:t xml:space="preserve"> </w:t>
      </w:r>
      <w:r>
        <w:t xml:space="preserve">simulation</w:t>
      </w:r>
      <w:r>
        <w:rPr>
          <w:vertAlign w:val="superscript"/>
        </w:rPr>
        <w:t xml:space="preserve">[100]</w:t>
      </w:r>
      <w:r>
        <w:t xml:space="preserve">, and LLM-generated handoff notes</w:t>
      </w:r>
      <w:r>
        <w:rPr>
          <w:vertAlign w:val="superscript"/>
        </w:rPr>
        <w:t xml:space="preserve">[74]</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improved macro-F1 in this synthetic evaluation, though the comparison does not separate noise realism from the additional training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49" name="Picture"/>
            <a:graphic>
              <a:graphicData uri="http://schemas.openxmlformats.org/drawingml/2006/picture">
                <pic:pic>
                  <pic:nvPicPr>
                    <pic:cNvPr descr="figures/fig6_sbar_macrof1.png" id="50" name="Picture"/>
                    <pic:cNvPicPr>
                      <a:picLocks noChangeArrowheads="1" noChangeAspect="1"/>
                    </pic:cNvPicPr>
                  </pic:nvPicPr>
                  <pic:blipFill>
                    <a:blip r:embed="rId48"/>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vertAlign w:val="superscript"/>
        </w:rPr>
        <w:t xml:space="preserve">[96]</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vertAlign w:val="superscript"/>
        </w:rPr>
        <w:t xml:space="preserve">[101]</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vertAlign w:val="superscript"/>
        </w:rPr>
        <w:t xml:space="preserve">[94,95]</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vertAlign w:val="superscript"/>
        </w:rPr>
        <w:t xml:space="preserve">[22]</w:t>
      </w:r>
      <w:r>
        <w:t xml:space="preserve">, a risk that</w:t>
      </w:r>
      <w:r>
        <w:t xml:space="preserve"> </w:t>
      </w:r>
      <w:r>
        <w:t xml:space="preserve">membership-inference audits now make measurable</w:t>
      </w:r>
      <w:r>
        <w:rPr>
          <w:vertAlign w:val="superscript"/>
        </w:rPr>
        <w:t xml:space="preserve">[92]</w:t>
      </w:r>
      <w:r>
        <w:t xml:space="preserve"> </w:t>
      </w:r>
      <w:r>
        <w:t xml:space="preserve">and that differentially private</w:t>
      </w:r>
      <w:r>
        <w:t xml:space="preserve"> </w:t>
      </w:r>
      <w:r>
        <w:t xml:space="preserve">generators are still being adapted to specialist clinical text</w:t>
      </w:r>
      <w:r>
        <w:rPr>
          <w:vertAlign w:val="superscript"/>
        </w:rPr>
        <w:t xml:space="preserve">[93]</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review.</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useful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review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vertAlign w:val="superscript"/>
        </w:rPr>
        <w:t xml:space="preserve">[34]</w:t>
      </w:r>
      <w:r>
        <w:t xml:space="preserve">, safety-focused</w:t>
      </w:r>
      <w:r>
        <w:t xml:space="preserve"> </w:t>
      </w:r>
      <w:r>
        <w:t xml:space="preserve">simulation-and-evaluation frameworks</w:t>
      </w:r>
      <w:r>
        <w:rPr>
          <w:vertAlign w:val="superscript"/>
        </w:rPr>
        <w:t xml:space="preserve">[102]</w:t>
      </w:r>
      <w:r>
        <w:t xml:space="preserve">, and multimodal clinical-agent</w:t>
      </w:r>
      <w:r>
        <w:t xml:space="preserve"> </w:t>
      </w:r>
      <w:r>
        <w:t xml:space="preserve">benchmarks</w:t>
      </w:r>
      <w:r>
        <w:rPr>
          <w:vertAlign w:val="superscript"/>
        </w:rPr>
        <w:t xml:space="preserve">[103]</w:t>
      </w:r>
      <w:r>
        <w:t xml:space="preserve"> </w:t>
      </w:r>
      <w:r>
        <w:t xml:space="preserve">point toward environments that fold generation and evaluation into</w:t>
      </w:r>
      <w:r>
        <w:t xml:space="preserve"> </w:t>
      </w:r>
      <w:r>
        <w:t xml:space="preserve">one renewable loop, extending toward personalized synthetic patients</w:t>
      </w:r>
      <w:r>
        <w:rPr>
          <w:vertAlign w:val="superscript"/>
        </w:rPr>
        <w:t xml:space="preserve">[75,82,83,84]</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vertAlign w:val="superscript"/>
        </w:rPr>
        <w:t xml:space="preserve">[92]</w:t>
      </w:r>
      <w:r>
        <w:t xml:space="preserve">, fidelity</w:t>
      </w:r>
      <w:r>
        <w:t xml:space="preserve"> </w:t>
      </w:r>
      <w:r>
        <w:t xml:space="preserve">and diversity metrics are under active and critical revision</w:t>
      </w:r>
      <w:r>
        <w:rPr>
          <w:vertAlign w:val="superscript"/>
        </w:rPr>
        <w:t xml:space="preserve">[94,95]</w:t>
      </w:r>
      <w:r>
        <w:t xml:space="preserve">, and</w:t>
      </w:r>
      <w:r>
        <w:t xml:space="preserve"> </w:t>
      </w:r>
      <w:r>
        <w:t xml:space="preserve">differentially private generators still contend with specialist clinical distributions</w:t>
      </w:r>
      <w:r>
        <w:rPr>
          <w:vertAlign w:val="superscript"/>
        </w:rPr>
        <w:t xml:space="preserve">[93]</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vertAlign w:val="superscript"/>
        </w:rPr>
        <w:t xml:space="preserve">[104]</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vertAlign w:val="superscript"/>
        </w:rPr>
        <w:t xml:space="preserve">[105]</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vertAlign w:val="superscript"/>
        </w:rPr>
        <w:t xml:space="preserve">[106]</w:t>
      </w:r>
      <w:r>
        <w:t xml:space="preserve">; shared, communication-specific fidelity benchmarks, including</w:t>
      </w:r>
      <w:r>
        <w:t xml:space="preserve"> </w:t>
      </w:r>
      <w:r>
        <w:t xml:space="preserve">rubric-scored and OSCE-style stations</w:t>
      </w:r>
      <w:r>
        <w:rPr>
          <w:vertAlign w:val="superscript"/>
        </w:rPr>
        <w:t xml:space="preserve">[107]</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vertAlign w:val="superscript"/>
        </w:rPr>
        <w:t xml:space="preserve">[108]</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vertAlign w:val="superscript"/>
        </w:rPr>
        <w:t xml:space="preserve">[96]</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review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or use synthetic communication, nine for downstream-model training and one as an evaluation testbed.</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sz w:val="19"/>
                <w:vertAlign w:val="superscript"/>
              </w:rPr>
              <w:t xml:space="preserve">[96]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sz w:val="19"/>
                <w:vertAlign w:val="superscript"/>
              </w:rPr>
              <w:t xml:space="preserve">[108]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may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redistribution follows that dataset’s license, with the per-study specifics given in Table 20.</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The authors thank colleagues at the Holon Institute of Technology (HIT) for helpful discussions.</w:t>
      </w:r>
    </w:p>
    <w:p>
      <w:r>
        <w:pict>
          <v:rect style="width:0;height:1.5pt" o:hralign="center" o:hrstd="t" o:hr="t"/>
        </w:pict>
      </w:r>
    </w:p>
    <w:bookmarkEnd w:id="64"/>
    <w:bookmarkStart w:id="7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The Joint Commission. Sentinel Event Data Summary (annual root-cause reports). Oakbrook Terrace, IL.</w:t>
      </w:r>
      <w:r>
        <w:t xml:space="preserve"> </w:t>
      </w:r>
      <w:hyperlink r:id="rId65">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CRICO Strategies (2015) Malpractice Risks in Communication Failures: 2015 Annual Benchmarking Report. Cambridge, MA.</w:t>
      </w:r>
      <w:r>
        <w:t xml:space="preserve"> </w:t>
      </w:r>
      <w:hyperlink r:id="rId66">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Rao H, Liu W, Wang H, Huang I-C, He Z, Huang X (2026) A Scoping Review of Synthetic Data Generation by Language Models in Biomedical Research and Application: Data Utility and Quality Perspectives. Journal of Healthcare Informatics Research 10(2).</w:t>
      </w:r>
      <w:r>
        <w:t xml:space="preserve"> </w:t>
      </w:r>
      <w:hyperlink r:id="rId67">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sz w:val="20"/>
        </w:rPr>
        <w:t xml:space="preserve">19. </w:t>
      </w:r>
      <w: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sz w:val="20"/>
        </w:rPr>
        <w:t xml:space="preserve">20. </w:t>
      </w:r>
      <w: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sz w:val="20"/>
        </w:rPr>
        <w:t xml:space="preserve">21. </w:t>
      </w:r>
      <w: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sz w:val="20"/>
        </w:rPr>
        <w:t xml:space="preserve">22. </w:t>
      </w:r>
      <w: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sz w:val="20"/>
        </w:rPr>
        <w:t xml:space="preserve">23. </w:t>
      </w:r>
      <w: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sz w:val="20"/>
        </w:rPr>
        <w:t xml:space="preserve">24. </w:t>
      </w:r>
      <w: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sz w:val="20"/>
        </w:rPr>
        <w:t xml:space="preserve">25. </w:t>
      </w:r>
      <w: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sz w:val="20"/>
        </w:rPr>
        <w:t xml:space="preserve">26. </w:t>
      </w:r>
      <w: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sz w:val="20"/>
        </w:rPr>
        <w:t xml:space="preserve">27. </w:t>
      </w:r>
      <w: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sz w:val="20"/>
        </w:rPr>
        <w:t xml:space="preserve">28. </w:t>
      </w:r>
      <w: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sz w:val="20"/>
        </w:rPr>
        <w:t xml:space="preserve">29. </w:t>
      </w:r>
      <w: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sz w:val="20"/>
        </w:rPr>
        <w:t xml:space="preserve">30. </w:t>
      </w:r>
      <w: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sz w:val="20"/>
        </w:rPr>
        <w:t xml:space="preserve">31. </w:t>
      </w:r>
      <w: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sz w:val="20"/>
        </w:rPr>
        <w:t xml:space="preserve">32. </w:t>
      </w:r>
      <w: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sz w:val="20"/>
        </w:rPr>
        <w:t xml:space="preserve">33. </w:t>
      </w:r>
      <w: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sz w:val="20"/>
        </w:rPr>
        <w:t xml:space="preserve">34. </w:t>
      </w:r>
      <w: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sz w:val="20"/>
        </w:rPr>
        <w:t xml:space="preserve">35. </w:t>
      </w:r>
      <w: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sz w:val="20"/>
        </w:rPr>
        <w:t xml:space="preserve">36. </w:t>
      </w:r>
      <w: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sz w:val="20"/>
        </w:rPr>
        <w:t xml:space="preserve">37. </w:t>
      </w:r>
      <w: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sz w:val="20"/>
        </w:rPr>
        <w:t xml:space="preserve">38. </w:t>
      </w:r>
      <w: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sz w:val="20"/>
        </w:rPr>
        <w:t xml:space="preserve">39. </w:t>
      </w:r>
      <w: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sz w:val="20"/>
        </w:rPr>
        <w:t xml:space="preserve">40. </w:t>
      </w:r>
      <w: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sz w:val="20"/>
        </w:rPr>
        <w:t xml:space="preserve">41. </w:t>
      </w:r>
      <w: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sz w:val="20"/>
        </w:rPr>
        <w:t xml:space="preserve">42. </w:t>
      </w:r>
      <w: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sz w:val="20"/>
        </w:rPr>
        <w:t xml:space="preserve">43. </w:t>
      </w:r>
      <w: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sz w:val="20"/>
        </w:rPr>
        <w:t xml:space="preserve">44. </w:t>
      </w:r>
      <w: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sz w:val="20"/>
        </w:rPr>
        <w:t xml:space="preserve">45. </w:t>
      </w:r>
      <w: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sz w:val="20"/>
        </w:rPr>
        <w:t xml:space="preserve">46. </w:t>
      </w:r>
      <w: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sz w:val="20"/>
        </w:rPr>
        <w:t xml:space="preserve">47. </w:t>
      </w:r>
      <w: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sz w:val="20"/>
        </w:rPr>
        <w:t xml:space="preserve">48. </w:t>
      </w:r>
      <w: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sz w:val="20"/>
        </w:rPr>
        <w:t xml:space="preserve">49. </w:t>
      </w:r>
      <w: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sz w:val="20"/>
        </w:rPr>
        <w:t xml:space="preserve">50. </w:t>
      </w:r>
      <w: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sz w:val="20"/>
        </w:rPr>
        <w:t xml:space="preserve">51. </w:t>
      </w:r>
      <w: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sz w:val="20"/>
        </w:rPr>
        <w:t xml:space="preserve">52. </w:t>
      </w:r>
      <w: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sz w:val="20"/>
        </w:rPr>
        <w:t xml:space="preserve">53. </w:t>
      </w:r>
      <w: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sz w:val="20"/>
        </w:rPr>
        <w:t xml:space="preserve">54. </w:t>
      </w:r>
      <w: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sz w:val="20"/>
        </w:rPr>
        <w:t xml:space="preserve">55. </w:t>
      </w:r>
      <w: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sz w:val="20"/>
        </w:rPr>
        <w:t xml:space="preserve">56. </w:t>
      </w:r>
      <w: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sz w:val="20"/>
        </w:rPr>
        <w:t xml:space="preserve">57. </w:t>
      </w:r>
      <w: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sz w:val="20"/>
        </w:rPr>
        <w:t xml:space="preserve">58. </w:t>
      </w:r>
      <w: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sz w:val="20"/>
        </w:rPr>
        <w:t xml:space="preserve">59. </w:t>
      </w:r>
      <w: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sz w:val="20"/>
        </w:rPr>
        <w:t xml:space="preserve">60. </w:t>
      </w:r>
      <w: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sz w:val="20"/>
        </w:rPr>
        <w:t xml:space="preserve">61. </w:t>
      </w:r>
      <w: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sz w:val="20"/>
        </w:rPr>
        <w:t xml:space="preserve">62. </w:t>
      </w:r>
      <w: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sz w:val="20"/>
        </w:rPr>
        <w:t xml:space="preserve">63. </w:t>
      </w:r>
      <w: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sz w:val="20"/>
        </w:rPr>
        <w:t xml:space="preserve">64. </w:t>
      </w:r>
      <w: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sz w:val="20"/>
        </w:rPr>
        <w:t xml:space="preserve">65. </w:t>
      </w:r>
      <w: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sz w:val="20"/>
        </w:rPr>
        <w:t xml:space="preserve">66. </w:t>
      </w:r>
      <w: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sz w:val="20"/>
        </w:rPr>
        <w:t xml:space="preserve">67. </w:t>
      </w:r>
      <w: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sz w:val="20"/>
        </w:rPr>
        <w:t xml:space="preserve">68. </w:t>
      </w:r>
      <w: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sz w:val="20"/>
        </w:rPr>
        <w:t xml:space="preserve">69. </w:t>
      </w:r>
      <w: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sz w:val="20"/>
        </w:rPr>
        <w:t xml:space="preserve">70. </w:t>
      </w:r>
      <w: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sz w:val="20"/>
        </w:rPr>
        <w:t xml:space="preserve">71. </w:t>
      </w:r>
      <w:r>
        <w:t xml:space="preserve">Shekhar AC, Kimbrell J, Saharan A, Stebel J, Ashley E, Abbott EE (2024)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sz w:val="20"/>
        </w:rPr>
        <w:t xml:space="preserve">72. </w:t>
      </w:r>
      <w: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sz w:val="20"/>
        </w:rPr>
        <w:t xml:space="preserve">73. </w:t>
      </w:r>
      <w:r>
        <w:t xml:space="preserve">Liu S, Wright AP, McCoy AB, Huang SS, Steitz B, Wright A (2025)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sz w:val="20"/>
        </w:rPr>
        <w:t xml:space="preserve">74. </w:t>
      </w:r>
      <w: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sz w:val="20"/>
        </w:rPr>
        <w:t xml:space="preserve">75. </w:t>
      </w:r>
      <w: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sz w:val="20"/>
        </w:rPr>
        <w:t xml:space="preserve">76. </w:t>
      </w:r>
      <w: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sz w:val="20"/>
        </w:rPr>
        <w:t xml:space="preserve">77. </w:t>
      </w:r>
      <w: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sz w:val="20"/>
        </w:rPr>
        <w:t xml:space="preserve">78. </w:t>
      </w:r>
      <w:r>
        <w:t xml:space="preserve">Markel J, Opferman S, Landay J, Piech C (2023) GPTeach: Interactive TA Training with GPT-based Students. ACM Learning@Scale.</w:t>
      </w:r>
      <w:r>
        <w:t xml:space="preserve"> </w:t>
      </w:r>
      <w:hyperlink r:id="rId68">
        <w:r>
          <w:rPr>
            <w:rStyle w:val="Hyperlink"/>
          </w:rPr>
          <w:t xml:space="preserve">https://doi.org/10.1145/3573051.3593393</w:t>
        </w:r>
      </w:hyperlink>
    </w:p>
    <w:p>
      <w:pPr>
        <w:pStyle w:val="ReferenceEntry"/>
        <w:spacing w:after="100"/>
        <w:ind w:left="475" w:hanging="475"/>
        <w:jc w:val="left"/>
        <w:keepNext w:val="0"/>
        <w:keepLines w:val="0"/>
        <w:widowControl w:val="1"/>
      </w:pPr>
      <w:r>
        <w:rPr>
          <w:rFonts w:ascii="Times New Roman" w:hAnsi="Times New Roman"/>
          <w:sz w:val="20"/>
        </w:rPr>
        <w:t xml:space="preserve">79. </w:t>
      </w:r>
      <w: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sz w:val="20"/>
        </w:rPr>
        <w:t xml:space="preserve">80. </w:t>
      </w:r>
      <w: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sz w:val="20"/>
        </w:rPr>
        <w:t xml:space="preserve">81. </w:t>
      </w:r>
      <w:r>
        <w:t xml:space="preserve">Holderried F, et al (2024) A Generative Pretrained Transformer (GPT)-Powered Chatbot as a Simulated Patient to Practice History Taking. JMIR Medical Education.</w:t>
      </w:r>
      <w:r>
        <w:t xml:space="preserve"> </w:t>
      </w:r>
      <w:hyperlink r:id="rId69">
        <w:r>
          <w:rPr>
            <w:rStyle w:val="Hyperlink"/>
          </w:rPr>
          <w:t xml:space="preserve">https://doi.org/10.2196/53961</w:t>
        </w:r>
      </w:hyperlink>
    </w:p>
    <w:p>
      <w:pPr>
        <w:pStyle w:val="ReferenceEntry"/>
        <w:spacing w:after="100"/>
        <w:ind w:left="475" w:hanging="475"/>
        <w:jc w:val="left"/>
        <w:keepNext w:val="0"/>
        <w:keepLines w:val="0"/>
        <w:widowControl w:val="1"/>
      </w:pPr>
      <w:r>
        <w:rPr>
          <w:rFonts w:ascii="Times New Roman" w:hAnsi="Times New Roman"/>
          <w:sz w:val="20"/>
        </w:rPr>
        <w:t xml:space="preserve">82. </w:t>
      </w:r>
      <w: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sz w:val="20"/>
        </w:rPr>
        <w:t xml:space="preserve">83. </w:t>
      </w:r>
      <w:r>
        <w:t xml:space="preserve">Zeng J, Qi W, Shen S, Liu X, et al (2025)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sz w:val="20"/>
        </w:rPr>
        <w:t xml:space="preserve">84. </w:t>
      </w:r>
      <w:r>
        <w:t xml:space="preserve">Li D, Lutfi SL (2026)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sz w:val="20"/>
        </w:rPr>
        <w:t xml:space="preserve">85. </w:t>
      </w:r>
      <w: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sz w:val="20"/>
        </w:rPr>
        <w:t xml:space="preserve">86. </w:t>
      </w:r>
      <w:r>
        <w:t xml:space="preserve">Shapira G, Apartsin A (2026) SPINE: A Benchmark for Measuring the Epistemic Backbone of Large Language Models. Harvard Dataverse.</w:t>
      </w:r>
      <w:r>
        <w:t xml:space="preserve"> </w:t>
      </w:r>
      <w:hyperlink r:id="rId70">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sz w:val="20"/>
        </w:rPr>
        <w:t xml:space="preserve">87. </w:t>
      </w:r>
      <w: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sz w:val="20"/>
        </w:rPr>
        <w:t xml:space="preserve">88. </w:t>
      </w:r>
      <w: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sz w:val="20"/>
        </w:rPr>
        <w:t xml:space="preserve">89. </w:t>
      </w:r>
      <w: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sz w:val="20"/>
        </w:rPr>
        <w:t xml:space="preserve">90. </w:t>
      </w:r>
      <w: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sz w:val="20"/>
        </w:rPr>
        <w:t xml:space="preserve">91. </w:t>
      </w:r>
      <w: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sz w:val="20"/>
        </w:rPr>
        <w:t xml:space="preserve">92. </w:t>
      </w:r>
      <w:r>
        <w:t xml:space="preserve">Meeus M, Wutschitz L, Zanella-Beguelin S, Tople S, Shokri R (2025)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sz w:val="20"/>
        </w:rPr>
        <w:t xml:space="preserve">93. </w:t>
      </w:r>
      <w: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sz w:val="20"/>
        </w:rPr>
        <w:t xml:space="preserve">94. </w:t>
      </w:r>
      <w: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sz w:val="20"/>
        </w:rPr>
        <w:t xml:space="preserve">95. </w:t>
      </w:r>
      <w: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sz w:val="20"/>
        </w:rPr>
        <w:t xml:space="preserve">96. </w:t>
      </w:r>
      <w:r>
        <w:t xml:space="preserve">Asgari E, Montaña-Brown N, Dubois M, et al (2025) A framework to assess clinical safety and hallucination rates of LLMs for medical text summarisation. npj Digital Medicine.</w:t>
      </w:r>
      <w:r>
        <w:t xml:space="preserve"> </w:t>
      </w:r>
      <w:hyperlink r:id="rId71">
        <w:r>
          <w:rPr>
            <w:rStyle w:val="Hyperlink"/>
          </w:rPr>
          <w:t xml:space="preserve">https://doi.org/10.1038/s41746-025-01670-7</w:t>
        </w:r>
      </w:hyperlink>
    </w:p>
    <w:p>
      <w:pPr>
        <w:pStyle w:val="ReferenceEntry"/>
        <w:spacing w:after="100"/>
        <w:ind w:left="475" w:hanging="475"/>
        <w:jc w:val="left"/>
        <w:keepNext w:val="0"/>
        <w:keepLines w:val="0"/>
        <w:widowControl w:val="1"/>
      </w:pPr>
      <w:r>
        <w:rPr>
          <w:rFonts w:ascii="Times New Roman" w:hAnsi="Times New Roman"/>
          <w:sz w:val="20"/>
        </w:rPr>
        <w:t xml:space="preserve">97. </w:t>
      </w:r>
      <w:r>
        <w:t xml:space="preserve">Barman N (2023) Symptom2Disease. Kaggle dataset.</w:t>
      </w:r>
      <w:r>
        <w:t xml:space="preserve"> </w:t>
      </w:r>
      <w:hyperlink r:id="rId72">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sz w:val="20"/>
        </w:rPr>
        <w:t xml:space="preserve">98. </w:t>
      </w:r>
      <w:r>
        <w:t xml:space="preserve">Johnson A, et al (2023) MIMIC-IV-ED (v2.2). PhysioNet.</w:t>
      </w:r>
      <w:r>
        <w:t xml:space="preserve"> </w:t>
      </w:r>
      <w:hyperlink r:id="rId73">
        <w:r>
          <w:rPr>
            <w:rStyle w:val="Hyperlink"/>
          </w:rPr>
          <w:t xml:space="preserve">https://doi.org/10.13026/5ntk-km72</w:t>
        </w:r>
      </w:hyperlink>
    </w:p>
    <w:p>
      <w:pPr>
        <w:pStyle w:val="ReferenceEntry"/>
        <w:spacing w:after="100"/>
        <w:ind w:left="475" w:hanging="475"/>
        <w:jc w:val="left"/>
        <w:keepNext w:val="0"/>
        <w:keepLines w:val="0"/>
        <w:widowControl w:val="1"/>
      </w:pPr>
      <w:r>
        <w:rPr>
          <w:rFonts w:ascii="Times New Roman" w:hAnsi="Times New Roman"/>
          <w:sz w:val="20"/>
        </w:rPr>
        <w:t xml:space="preserve">99. </w:t>
      </w:r>
      <w:r>
        <w:t xml:space="preserve">Gatto J, Seegmiller P, Burdick T, Resnik P, Rahat R, DeLozier S, Preum SM (2026)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sz w:val="20"/>
        </w:rPr>
        <w:t xml:space="preserve">100. </w:t>
      </w:r>
      <w:r>
        <w:t xml:space="preserve">Li X, Yu H, Wang W, Wu Y, Zhou J, et al (2026)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sz w:val="20"/>
        </w:rPr>
        <w:t xml:space="preserve">101. </w:t>
      </w:r>
      <w: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sz w:val="20"/>
        </w:rPr>
        <w:t xml:space="preserve">102. </w:t>
      </w:r>
      <w: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sz w:val="20"/>
        </w:rPr>
        <w:t xml:space="preserve">103. </w:t>
      </w:r>
      <w: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sz w:val="20"/>
        </w:rPr>
        <w:t xml:space="preserve">104. </w:t>
      </w:r>
      <w: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sz w:val="20"/>
        </w:rPr>
        <w:t xml:space="preserve">105. </w:t>
      </w:r>
      <w: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sz w:val="20"/>
        </w:rPr>
        <w:t xml:space="preserve">106. </w:t>
      </w:r>
      <w: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sz w:val="20"/>
        </w:rPr>
        <w:t xml:space="preserve">107. </w:t>
      </w:r>
      <w: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sz w:val="20"/>
        </w:rPr>
        <w:t xml:space="preserve">108. </w:t>
      </w:r>
      <w: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sz w:val="20"/>
        </w:rPr>
        <w:t xml:space="preserve">109. </w:t>
      </w:r>
      <w:r>
        <w:t xml:space="preserve">Diaz Ochoa J, Layer N, Mahr J, Mustafa F, et al (2025) Optimized BERT-based NLP outperforms zero-shot methods for automated symptom detection in clinical practice. Frontiers in Digital Health.</w:t>
      </w:r>
      <w:r>
        <w:t xml:space="preserve"> </w:t>
      </w:r>
      <w:hyperlink r:id="rId74">
        <w:r>
          <w:rPr>
            <w:rStyle w:val="Hyperlink"/>
          </w:rPr>
          <w:t xml:space="preserve">https://doi.org/10.3389/fdgth.2025.1623922</w:t>
        </w:r>
      </w:hyperlink>
    </w:p>
    <w:bookmarkEnd w:id="75"/>
    <w:bookmarkEnd w:id="76"/>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2026-08-09T12:21:42Z</dcterms:created>
  <dcterms:modified xsi:type="dcterms:W3CDTF">2026-08-09T12:21:42Z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