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8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6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4" name="Picture"/>
            <a:graphic>
              <a:graphicData uri="http://schemas.openxmlformats.org/drawingml/2006/picture">
                <pic:pic>
                  <pic:nvPicPr>
                    <pic:cNvPr descr="figures/fig0_landscap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bookmarkEnd w:id="16"/>
    <w:bookmarkStart w:id="28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20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7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7"/>
    <w:bookmarkStart w:id="18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8"/>
    <w:bookmarkStart w:id="19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9"/>
    <w:bookmarkEnd w:id="20"/>
    <w:bookmarkStart w:id="25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21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21"/>
    <w:bookmarkStart w:id="22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22"/>
    <w:bookmarkStart w:id="23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3"/>
    <w:bookmarkStart w:id="24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4"/>
    <w:bookmarkEnd w:id="25"/>
    <w:bookmarkStart w:id="26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6"/>
    <w:bookmarkStart w:id="27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thirteen studies target portal messaging and these pre-hospital and handoff channels, and all but one</w:t>
      </w:r>
      <w:r>
        <w:t xml:space="preserve"> </w:t>
      </w:r>
      <w:r>
        <w:t xml:space="preserve">(Section 3.3.5)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7"/>
    <w:bookmarkEnd w:id="28"/>
    <w:bookmarkStart w:id="67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thirteen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32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9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9"/>
    <w:bookmarkStart w:id="30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30"/>
    <w:bookmarkStart w:id="31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31"/>
    <w:bookmarkEnd w:id="32"/>
    <w:bookmarkStart w:id="37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6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2).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522346"/>
            <wp:effectExtent b="0" l="0" r="0" t="0"/>
            <wp:docPr descr="Model comparison for clinical-decision extraction" title="" id="34" name="Picture"/>
            <a:graphic>
              <a:graphicData uri="http://schemas.openxmlformats.org/drawingml/2006/picture">
                <pic:pic>
                  <pic:nvPicPr>
                    <pic:cNvPr descr="figures/fig1_crosslingual_f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bookmarkEnd w:id="36"/>
    <w:bookmarkEnd w:id="37"/>
    <w:bookmarkStart w:id="53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41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3).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9" name="Picture"/>
            <a:graphic>
              <a:graphicData uri="http://schemas.openxmlformats.org/drawingml/2006/picture">
                <pic:pic>
                  <pic:nvPicPr>
                    <pic:cNvPr descr="figures/fig2_portal_tri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41"/>
    <w:bookmarkStart w:id="45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4).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43" name="Picture"/>
            <a:graphic>
              <a:graphicData uri="http://schemas.openxmlformats.org/drawingml/2006/picture">
                <pic:pic>
                  <pic:nvPicPr>
                    <pic:cNvPr descr="figures/fig3_csection_confus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5"/>
    <w:bookmarkStart w:id="46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bookmarkEnd w:id="46"/>
    <w:bookmarkStart w:id="47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47"/>
    <w:bookmarkStart w:id="48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48"/>
    <w:bookmarkStart w:id="52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5);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50" name="Picture"/>
            <a:graphic>
              <a:graphicData uri="http://schemas.openxmlformats.org/drawingml/2006/picture">
                <pic:pic>
                  <pic:nvPicPr>
                    <pic:cNvPr descr="figures/fig4_homecare_recal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52"/>
    <w:bookmarkEnd w:id="53"/>
    <w:bookmarkStart w:id="66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7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6).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5" name="Picture"/>
            <a:graphic>
              <a:graphicData uri="http://schemas.openxmlformats.org/drawingml/2006/picture">
                <pic:pic>
                  <pic:nvPicPr>
                    <pic:cNvPr descr="figures/fig5_medalert_macrof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57"/>
    <w:bookmarkStart w:id="61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7).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592105"/>
            <wp:effectExtent b="0" l="0" r="0" t="0"/>
            <wp:docPr descr="Casualty-record reconstruction model comparison" title="" id="59" name="Picture"/>
            <a:graphic>
              <a:graphicData uri="http://schemas.openxmlformats.org/drawingml/2006/picture">
                <pic:pic>
                  <pic:nvPicPr>
                    <pic:cNvPr descr="figures/fig6_casualty_reconstruc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bookmarkEnd w:id="61"/>
    <w:bookmarkStart w:id="65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8).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63" name="Picture"/>
            <a:graphic>
              <a:graphicData uri="http://schemas.openxmlformats.org/drawingml/2006/picture">
                <pic:pic>
                  <pic:nvPicPr>
                    <pic:cNvPr descr="figures/fig7_sbar_macrof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65"/>
    <w:bookmarkEnd w:id="66"/>
    <w:bookmarkEnd w:id="67"/>
    <w:bookmarkStart w:id="72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8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8"/>
    <w:bookmarkStart w:id="69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9"/>
    <w:bookmarkStart w:id="70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70"/>
    <w:bookmarkStart w:id="71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 with one Hebrew case,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71"/>
    <w:bookmarkEnd w:id="72"/>
    <w:bookmarkStart w:id="73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73"/>
    <w:bookmarkStart w:id="74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21)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21.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1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§3.3.4)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communication; held-out synthetic evaluation cannot detect it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4"/>
    <w:bookmarkStart w:id="76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5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6"/>
    <w:bookmarkStart w:id="77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7"/>
    <w:bookmarkStart w:id="8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8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8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82"/>
    <w:bookmarkEnd w:id="83"/>
    <w:sectPr w:rsidR="00FC693F" w:rsidRPr="0006063C" w:rsidSect="00034616">
      <w:footerReference w:type="default" r:id="rId14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54" Type="http://schemas.openxmlformats.org/officeDocument/2006/relationships/image" Target="media/rId54.png"/><Relationship Id="rId58" Type="http://schemas.openxmlformats.org/officeDocument/2006/relationships/image" Target="media/rId58.png"/><Relationship Id="rId62" Type="http://schemas.openxmlformats.org/officeDocument/2006/relationships/image" Target="media/rId62.png"/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2026-08-07T13:54:52Z</dcterms:created>
  <dcterms:modified xsi:type="dcterms:W3CDTF">2026-08-07T13:54:52Z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