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review and supplied the application studies in</w:t>
      </w:r>
      <w:r>
        <w:t xml:space="preserve"> </w:t>
      </w:r>
      <w:r>
        <w:t xml:space="preserve">Section 3. We thank the whole cohort collectively for their creativity and rigor.</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Use of a large language model for ambulance dispatch and triage (2024).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Detecting emergencies in patient portal messages using LLMs and knowledge-graph-based RAG (2025).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Embracing the Future of Medical Education With Large Language Model-Based Virtual Patients: Scoping Review (2025).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Large Language Model-Based Virtual Patient Systems for History-Taking in Medical Education: A Comprehensive Systematic Review (2026).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The Canary's Echo: Auditing Privacy Risks of LLM-Generated Synthetic Text (2025).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Medical Triage as Pairwise Ranking (PMR-Bench) (2026).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DispatchMAS: Fusing Taxonomy and AI Agents for Emergency Medical Services (2026).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2026-08-09T11:55:18Z</dcterms:created>
  <dcterms:modified xsi:type="dcterms:W3CDTF">2026-08-09T11:55:18Z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