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2"/>
        </w:rPr>
        <w:t xml:space="preserve">Alexander Apartsin</w:t>
      </w:r>
      <w:r>
        <w:rPr>
          <w:rFonts w:ascii="Times New Roman" w:hAnsi="Times New Roman"/>
          <w:b/>
          <w:i w:val="0"/>
          <w:color w:val="CC0000"/>
          <w:sz w:val="22"/>
          <w:vertAlign w:val="superscript"/>
        </w:rPr>
        <w:t xml:space="preserve">1</w:t>
      </w:r>
      <w:r>
        <w:rPr>
          <w:rFonts w:ascii="Times New Roman" w:hAnsi="Times New Roman"/>
          <w:b/>
          <w:i w:val="0"/>
          <w:sz w:val="22"/>
        </w:rPr>
        <w:t xml:space="preserve">   Yehudit Aperstein</w:t>
      </w:r>
      <w:r>
        <w:rPr>
          <w:rFonts w:ascii="Times New Roman" w:hAnsi="Times New Roman"/>
          <w:b/>
          <w:i w:val="0"/>
          <w:color w:val="CC0000"/>
          <w:sz w:val="22"/>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10"/>
          <w:type w:val="continuous"/>
          <w:pgSz w:h="15840" w:w="12240"/>
          <w:pgMar w:bottom="1080" w:footer="720" w:gutter="0" w:header="720" w:left="1080" w:right="1080" w:top="1080"/>
          <w:cols w:num="1" w:space="288"/>
          <w:docGrid w:linePitch="360"/>
        </w:sectPr>
      </w:pP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94529"/>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6400800" cy="329452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review against the closest prior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6400800" cy="3289826"/>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6400800" cy="328982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345537"/>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2984601" cy="234553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17491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6400800" cy="317491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6102096" cy="3712464"/>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6102096" cy="37124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review and supplied the application studies in</w:t>
      </w:r>
      <w:r>
        <w:t xml:space="preserve"> </w:t>
      </w:r>
      <w:r>
        <w:t xml:space="preserve">Section 3. We thank the whole cohort collectively for their creativity and rigor.</w:t>
      </w:r>
    </w:p>
    <w:p>
      <w:r>
        <w:pict>
          <v:rect style="width:0;height:1.5pt" o:hralign="center" o:hrstd="t" o:hr="t"/>
        </w:pict>
      </w:r>
    </w:p>
    <w:bookmarkEnd w:id="64"/>
    <w:bookmarkStart w:id="7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18"/>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18"/>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18"/>
        </w:rPr>
        <w:t xml:space="preserve">3. </w:t>
      </w:r>
      <w:r>
        <w:rPr>
          <w:color w:val="CC0000"/>
        </w:rPr>
        <w:t xml:space="preserve">The Joint Commission. Sentinel Event Data Summary (annual root-cause reports). Oakbrook Terrace, IL.</w:t>
      </w:r>
      <w:r>
        <w:rPr>
          <w:color w:val="CC0000"/>
        </w:rP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4. </w:t>
      </w:r>
      <w:r>
        <w:rPr>
          <w:color w:val="CC0000"/>
        </w:rPr>
        <w:t xml:space="preserve">CRICO Strategies (2015) Malpractice Risks in Communication Failures: 2015 Annual Benchmarking Report. Cambridge, MA.</w:t>
      </w:r>
      <w:r>
        <w:rPr>
          <w:color w:val="CC0000"/>
        </w:rP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18"/>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18"/>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18"/>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18"/>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18"/>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18"/>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18"/>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18"/>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18"/>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18"/>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18"/>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18"/>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18"/>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18"/>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18"/>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18"/>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18"/>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18"/>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18"/>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18"/>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18"/>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18"/>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18"/>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18"/>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18"/>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18"/>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18"/>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18"/>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18"/>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18"/>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18"/>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18"/>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18"/>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18"/>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18"/>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18"/>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18"/>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18"/>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18"/>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18"/>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18"/>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18"/>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18"/>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18"/>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18"/>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18"/>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18"/>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18"/>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18"/>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18"/>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18"/>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18"/>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18"/>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18"/>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18"/>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18"/>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18"/>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18"/>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18"/>
        </w:rPr>
        <w:t xml:space="preserve">71. </w:t>
      </w:r>
      <w:r>
        <w:rPr>
          <w:color w:val="CC0000"/>
        </w:rPr>
        <w:t xml:space="preserve">Use of a large language model for ambulance dispatch and triage (2024).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18"/>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18"/>
        </w:rPr>
        <w:t xml:space="preserve">73. </w:t>
      </w:r>
      <w:r>
        <w:rPr>
          <w:color w:val="CC0000"/>
        </w:rPr>
        <w:t xml:space="preserve">Detecting emergencies in patient portal messages using LLMs and knowledge-graph-based RAG (2025). JAMIA 32(6):1032.</w:t>
      </w:r>
    </w:p>
    <w:p>
      <w:pPr>
        <w:pStyle w:val="ReferenceEntry"/>
        <w:spacing w:after="100"/>
        <w:ind w:left="475" w:hanging="475"/>
        <w:jc w:val="left"/>
        <w:keepNext w:val="0"/>
        <w:keepLines w:val="0"/>
        <w:widowControl w:val="1"/>
      </w:pPr>
      <w:r>
        <w:rPr>
          <w:rFonts w:ascii="Times New Roman" w:hAnsi="Times New Roman"/>
          <w:color w:val="CC0000"/>
          <w:sz w:val="18"/>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18"/>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18"/>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18"/>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18"/>
        </w:rPr>
        <w:t xml:space="preserve">78. </w:t>
      </w:r>
      <w:r>
        <w:rPr>
          <w:color w:val="CC0000"/>
        </w:rPr>
        <w:t xml:space="preserve">Markel J, Opferman S, Landay J, Piech C (2023) GPTeach: Interactive TA Training with GPT-based Students. ACM Learning@Scale.</w:t>
      </w:r>
      <w:r>
        <w:rPr>
          <w:color w:val="CC0000"/>
        </w:rPr>
        <w:t xml:space="preserve"> </w:t>
      </w:r>
      <w:hyperlink r:id="rId68">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18"/>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18"/>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69">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83. </w:t>
      </w:r>
      <w:r>
        <w:rPr>
          <w:color w:val="CC0000"/>
        </w:rPr>
        <w:t xml:space="preserve">Embracing the Future of Medical Education With Large Language Model-Based Virtual Patients: Scoping Review (2025).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18"/>
        </w:rPr>
        <w:t xml:space="preserve">84. </w:t>
      </w:r>
      <w:r>
        <w:rPr>
          <w:color w:val="CC0000"/>
        </w:rPr>
        <w:t xml:space="preserve">Large Language Model-Based Virtual Patient Systems for History-Taking in Medical Education: A Comprehensive Systematic Review (2026). JMIR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18"/>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0">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18"/>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18"/>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18"/>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18"/>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18"/>
        </w:rPr>
        <w:t xml:space="preserve">92. </w:t>
      </w:r>
      <w:r>
        <w:rPr>
          <w:color w:val="CC0000"/>
        </w:rPr>
        <w:t xml:space="preserve">The Canary's Echo: Auditing Privacy Risks of LLM-Generated Synthetic Text (2025). arXiv:2502.14921.</w:t>
      </w:r>
    </w:p>
    <w:p>
      <w:pPr>
        <w:pStyle w:val="ReferenceEntry"/>
        <w:spacing w:after="100"/>
        <w:ind w:left="475" w:hanging="475"/>
        <w:jc w:val="left"/>
        <w:keepNext w:val="0"/>
        <w:keepLines w:val="0"/>
        <w:widowControl w:val="1"/>
      </w:pPr>
      <w:r>
        <w:rPr>
          <w:rFonts w:ascii="Times New Roman" w:hAnsi="Times New Roman"/>
          <w:color w:val="CC0000"/>
          <w:sz w:val="18"/>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18"/>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18"/>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18"/>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1">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97. </w:t>
      </w:r>
      <w:r>
        <w:rPr>
          <w:color w:val="CC0000"/>
        </w:rPr>
        <w:t xml:space="preserve">Barman N (2023) Symptom2Disease. Kaggle dataset.</w:t>
      </w:r>
      <w:r>
        <w:rPr>
          <w:color w:val="CC0000"/>
        </w:rP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98. </w:t>
      </w:r>
      <w:r>
        <w:rPr>
          <w:color w:val="CC0000"/>
        </w:rPr>
        <w:t xml:space="preserve">Johnson A, et al (2023) MIMIC-IV-ED (v2.2). PhysioNet.</w:t>
      </w:r>
      <w:r>
        <w:rPr>
          <w:color w:val="CC0000"/>
        </w:rPr>
        <w:t xml:space="preserve"> </w:t>
      </w:r>
      <w:hyperlink r:id="rId73">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99. </w:t>
      </w:r>
      <w:r>
        <w:rPr>
          <w:color w:val="CC0000"/>
        </w:rPr>
        <w:t xml:space="preserve">Medical Triage as Pairwise Ranking (PMR-Bench) (2026). arXiv:2601.13178.</w:t>
      </w:r>
    </w:p>
    <w:p>
      <w:pPr>
        <w:pStyle w:val="ReferenceEntry"/>
        <w:spacing w:after="100"/>
        <w:ind w:left="475" w:hanging="475"/>
        <w:jc w:val="left"/>
        <w:keepNext w:val="0"/>
        <w:keepLines w:val="0"/>
        <w:widowControl w:val="1"/>
      </w:pPr>
      <w:r>
        <w:rPr>
          <w:rFonts w:ascii="Times New Roman" w:hAnsi="Times New Roman"/>
          <w:color w:val="CC0000"/>
          <w:sz w:val="18"/>
        </w:rPr>
        <w:t xml:space="preserve">100. </w:t>
      </w:r>
      <w:r>
        <w:rPr>
          <w:color w:val="CC0000"/>
        </w:rPr>
        <w:t xml:space="preserve">DispatchMAS: Fusing Taxonomy and AI Agents for Emergency Medical Services (2026).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18"/>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18"/>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18"/>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18"/>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18"/>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18"/>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18"/>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18"/>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18"/>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4">
        <w:r>
          <w:rPr>
            <w:rStyle w:val="Hyperlink"/>
          </w:rPr>
          <w:t xml:space="preserve">https://doi.org/10.3389/fdgth.2025.1623922</w:t>
        </w:r>
      </w:hyperlink>
    </w:p>
    <w:bookmarkEnd w:id="75"/>
    <w:bookmarkEnd w:id="7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2026-08-09T11:55:21Z</dcterms:created>
  <dcterms:modified xsi:type="dcterms:W3CDTF">2026-08-09T11:55:21Z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