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Importantly, the source defines the intended facts and</w:t>
      </w:r>
      <w:r>
        <w:t xml:space="preserve"> </w:t>
      </w:r>
      <w:r>
        <w:t xml:space="preserve">the generator realizes them in language; the model does not invent clinical truth.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the right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0.97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7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one further study grounds generation in real clinical records, tracing EMS routing to MIMIC-IV cases (Section 3.3.1). No study provides a pure</w:t>
      </w:r>
      <w:r>
        <w:t xml:space="preserve"> </w:t>
      </w:r>
      <w:r>
        <w:rPr>
          <w:i/>
          <w:iCs/>
        </w:rPr>
        <w:t xml:space="preserve">S→R</w:t>
      </w:r>
      <w:r>
        <w:t xml:space="preserve"> </w:t>
      </w:r>
      <w:r>
        <w:t xml:space="preserve">test.</w:t>
      </w:r>
      <w:r>
        <w:t xml:space="preserve"> </w:t>
      </w:r>
      <w:r>
        <w:t xml:space="preserve">Even so, the decisive evidence, strong performance when a model is trained end-to-end on synthetic</w:t>
      </w:r>
      <w:r>
        <w:t xml:space="preserve"> </w:t>
      </w:r>
      <w:r>
        <w:t xml:space="preserve">communication and tested on real communication, is the field's decisive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4"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9">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71">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73">
        <w:r>
          <w:rPr>
            <w:rStyle w:val="Hyperlink"/>
          </w:rPr>
          <w:t xml:space="preserve">doi:10.1007/s41666-026-00229-9</w:t>
        </w:r>
      </w:hyperlink>
    </w:p>
    <w:bookmarkEnd w:id="74"/>
    <w:bookmarkEnd w:id="7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3"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71"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71"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2026-08-09T10:32:56Z</dcterms:created>
  <dcterms:modified xsi:type="dcterms:W3CDTF">2026-08-09T10:32:56Z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