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over-letter"/>
    <w:p>
      <w:pPr>
        <w:pStyle w:val="Heading1"/>
      </w:pPr>
      <w:r>
        <w:t xml:space="preserve">Cover letter</w:t>
      </w:r>
    </w:p>
    <w:p>
      <w:pPr>
        <w:pStyle w:val="FirstParagraph"/>
      </w:pPr>
      <w:r>
        <w:rPr>
          <w:b/>
          <w:bCs/>
        </w:rPr>
        <w:t xml:space="preserve">To:</w:t>
      </w:r>
      <w:r>
        <w:t xml:space="preserve"> </w:t>
      </w:r>
      <w:r>
        <w:t xml:space="preserve">The Editor-in-Chief,</w:t>
      </w:r>
      <w:r>
        <w:t xml:space="preserve"> </w:t>
      </w:r>
      <w:r>
        <w:rPr>
          <w:i/>
          <w:iCs/>
        </w:rPr>
        <w:t xml:space="preserve">Journal of Healthcare Informatics Research</w:t>
      </w:r>
    </w:p>
    <w:p>
      <w:pPr>
        <w:pStyle w:val="BodyText"/>
      </w:pPr>
      <w:r>
        <w:rPr>
          <w:b/>
          <w:bCs/>
        </w:rPr>
        <w:t xml:space="preserve">Re:</w:t>
      </w:r>
      <w:r>
        <w:t xml:space="preserve"> </w:t>
      </w:r>
      <w:r>
        <w:t xml:space="preserve">Submission of a Review Article</w:t>
      </w:r>
    </w:p>
    <w:p>
      <w:pPr>
        <w:pStyle w:val="BodyText"/>
      </w:pPr>
      <w:r>
        <w:t xml:space="preserve">Dear Editor,</w:t>
      </w:r>
    </w:p>
    <w:p>
      <w:pPr>
        <w:pStyle w:val="BodyText"/>
      </w:pPr>
      <w:r>
        <w:t xml:space="preserve">We submit our manuscript,</w:t>
      </w:r>
      <w:r>
        <w:t xml:space="preserve"> </w:t>
      </w:r>
      <w:r>
        <w:rPr>
          <w:b/>
          <w:bCs/>
        </w:rPr>
        <w:t xml:space="preserve">“</w:t>
      </w:r>
      <w:r>
        <w:rPr>
          <w:b/>
          <w:bCs/>
        </w:rPr>
        <w:t xml:space="preserve">Clinical Communication Processing with Models Trained on LLM-Generated Synthetic Data: A Structured Survey and Novel Application Case Studies,</w:t>
      </w:r>
      <w:r>
        <w:rPr>
          <w:b/>
          <w:bCs/>
        </w:rPr>
        <w:t xml:space="preserve">”</w:t>
      </w:r>
      <w:r>
        <w:t xml:space="preserve"> </w:t>
      </w:r>
      <w:r>
        <w:t xml:space="preserve">for consideration as a</w:t>
      </w:r>
      <w:r>
        <w:t xml:space="preserve"> </w:t>
      </w:r>
      <w:r>
        <w:rPr>
          <w:b/>
          <w:bCs/>
        </w:rPr>
        <w:t xml:space="preserve">Review Article</w:t>
      </w:r>
      <w:r>
        <w:t xml:space="preserve"> </w:t>
      </w:r>
      <w:r>
        <w:t xml:space="preserve">in the</w:t>
      </w:r>
      <w:r>
        <w:t xml:space="preserve"> </w:t>
      </w:r>
      <w:r>
        <w:rPr>
          <w:i/>
          <w:iCs/>
        </w:rPr>
        <w:t xml:space="preserve">Journal of Healthcare Informatics Research</w:t>
      </w:r>
      <w:r>
        <w:t xml:space="preserve">.</w:t>
      </w:r>
    </w:p>
    <w:p>
      <w:pPr>
        <w:pStyle w:val="BodyText"/>
      </w:pPr>
      <w:r>
        <w:rPr>
          <w:b/>
          <w:bCs/>
        </w:rPr>
        <w:t xml:space="preserve">Motivation.</w:t>
      </w:r>
      <w:r>
        <w:t xml:space="preserve"> </w:t>
      </w:r>
      <w:r>
        <w:t xml:space="preserve">Much of the clinically decisive information in medicine is conveyed through communication — patient narratives, clinician instructions, paramedic-to-hospital handovers, emergency-dispatch calls, nurse handoffs, and patient-portal messages — rather than through structured records. Corpora of such communication are scarce, privacy-sensitive, and costly to annotate. Large language models now make it practical to generate synthetic clinical communication that trains and evaluates downstream models where real data is unavailable. This fast-emerging area has lacked a unifying account.</w:t>
      </w:r>
    </w:p>
    <w:p>
      <w:pPr>
        <w:pStyle w:val="BodyText"/>
      </w:pPr>
      <w:r>
        <w:rPr>
          <w:b/>
          <w:bCs/>
        </w:rPr>
        <w:t xml:space="preserve">Contribution.</w:t>
      </w:r>
      <w:r>
        <w:t xml:space="preserve"> </w:t>
      </w:r>
      <w:r>
        <w:t xml:space="preserve">Our review organizes it and grounds the organization in concrete applications:</w:t>
      </w:r>
    </w:p>
    <w:p>
      <w:pPr>
        <w:pStyle w:val="Compact"/>
        <w:numPr>
          <w:ilvl w:val="0"/>
          <w:numId w:val="1001"/>
        </w:numPr>
      </w:pPr>
      <w:r>
        <w:t xml:space="preserve">A taxonomy of clinical-communication channels and a</w:t>
      </w:r>
      <w:r>
        <w:t xml:space="preserve"> </w:t>
      </w:r>
      <w:r>
        <w:rPr>
          <w:i/>
          <w:iCs/>
        </w:rPr>
        <w:t xml:space="preserve">clinical source → LLM-generated communication → downstream model</w:t>
      </w:r>
      <w:r>
        <w:t xml:space="preserve"> </w:t>
      </w:r>
      <w:r>
        <w:t xml:space="preserve">framework.</w:t>
      </w:r>
    </w:p>
    <w:p>
      <w:pPr>
        <w:pStyle w:val="Compact"/>
        <w:numPr>
          <w:ilvl w:val="0"/>
          <w:numId w:val="1001"/>
        </w:numPr>
      </w:pPr>
      <w:r>
        <w:t xml:space="preserve">An evaluation-regime analysis (train-on-synthetic / test-on-real) and a coverage comparison against the closest prior reviews.</w:t>
      </w:r>
    </w:p>
    <w:p>
      <w:pPr>
        <w:pStyle w:val="Compact"/>
        <w:numPr>
          <w:ilvl w:val="0"/>
          <w:numId w:val="1001"/>
        </w:numPr>
      </w:pPr>
      <w:r>
        <w:t xml:space="preserve">Ten application case studies that build clinical NLP systems for channels and a language with no labeled real-world data, distilling reusable design patterns and failure modes.</w:t>
      </w:r>
    </w:p>
    <w:p>
      <w:pPr>
        <w:pStyle w:val="Compact"/>
        <w:numPr>
          <w:ilvl w:val="0"/>
          <w:numId w:val="1001"/>
        </w:numPr>
      </w:pPr>
      <w:r>
        <w:t xml:space="preserve">A public dataset and reproduction code (Zenodo, doi:10.5281/zenodo.21820227).</w:t>
      </w:r>
    </w:p>
    <w:p>
      <w:pPr>
        <w:pStyle w:val="FirstParagraph"/>
      </w:pPr>
      <w:r>
        <w:rPr>
          <w:b/>
          <w:bCs/>
        </w:rPr>
        <w:t xml:space="preserve">Fit with the Journal of Healthcare Informatics Research.</w:t>
      </w:r>
      <w:r>
        <w:t xml:space="preserve"> </w:t>
      </w:r>
      <w:r>
        <w:t xml:space="preserve">The work sits directly across the journal’s three tracks:</w:t>
      </w:r>
      <w:r>
        <w:t xml:space="preserve"> </w:t>
      </w:r>
      <w:r>
        <w:rPr>
          <w:b/>
          <w:bCs/>
        </w:rPr>
        <w:t xml:space="preserve">Analytics</w:t>
      </w:r>
      <w:r>
        <w:t xml:space="preserve"> </w:t>
      </w:r>
      <w:r>
        <w:t xml:space="preserve">(generative AI and machine-learning methods for clinical text),</w:t>
      </w:r>
      <w:r>
        <w:t xml:space="preserve"> </w:t>
      </w:r>
      <w:r>
        <w:rPr>
          <w:b/>
          <w:bCs/>
        </w:rPr>
        <w:t xml:space="preserve">Systems</w:t>
      </w:r>
      <w:r>
        <w:t xml:space="preserve"> </w:t>
      </w:r>
      <w:r>
        <w:t xml:space="preserve">(building NLP systems for under-served communication channels), and</w:t>
      </w:r>
      <w:r>
        <w:t xml:space="preserve"> </w:t>
      </w:r>
      <w:r>
        <w:rPr>
          <w:b/>
          <w:bCs/>
        </w:rPr>
        <w:t xml:space="preserve">Human-centered Computing</w:t>
      </w:r>
      <w:r>
        <w:t xml:space="preserve"> </w:t>
      </w:r>
      <w:r>
        <w:t xml:space="preserve">(intelligent communication with healthcare stakeholders). The manuscript combines a structured review with empirical case studies in a single contribution — a format the journal has accommodated before — which lets the survey and the applications reinforce one another rather than being split across papers.</w:t>
      </w:r>
    </w:p>
    <w:p>
      <w:pPr>
        <w:pStyle w:val="BodyText"/>
      </w:pPr>
      <w:r>
        <w:rPr>
          <w:b/>
          <w:bCs/>
        </w:rPr>
        <w:t xml:space="preserve">Declarations.</w:t>
      </w:r>
      <w:r>
        <w:t xml:space="preserve"> </w:t>
      </w:r>
      <w:r>
        <w:t xml:space="preserve">The manuscript is original, has not been published previously, and is not under consideration elsewhere. All authors approve the submission. The authors have no competing interests, and the work received no specific external funding. Data and code are publicly available.</w:t>
      </w:r>
    </w:p>
    <w:p>
      <w:pPr>
        <w:pStyle w:val="BodyText"/>
      </w:pPr>
      <w:r>
        <w:t xml:space="preserve">Thank you for considering our submission.</w:t>
      </w:r>
    </w:p>
    <w:p>
      <w:pPr>
        <w:pStyle w:val="BodyText"/>
      </w:pPr>
      <w:r>
        <w:t xml:space="preserve">Sincerely,</w:t>
      </w:r>
    </w:p>
    <w:p>
      <w:pPr>
        <w:pStyle w:val="BodyText"/>
      </w:pPr>
      <w:r>
        <w:t xml:space="preserve">Alexander Apartsin (corresponding author), School of Computer Science, Holon Institute of Technology (HIT), Holon, Israel</w:t>
      </w:r>
      <w:r>
        <w:t xml:space="preserve"> </w:t>
      </w:r>
      <w:r>
        <w:t xml:space="preserve">Yehudit Aperstein, Intelligent Systems, Afeka Academic College of Engineering, Tel-Aviv, Israel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2026-08-08T17:12:25Z</dcterms:created>
  <dcterms:modified xsi:type="dcterms:W3CDTF">2026-08-08T17:12:25Z</dcterms:modified>
</cp:coreProperties>
</file>

<file path=docProps/custom.xml><?xml version="1.0" encoding="utf-8"?>
<Properties xmlns="http://schemas.openxmlformats.org/officeDocument/2006/custom-properties" xmlns:vt="http://schemas.openxmlformats.org/officeDocument/2006/docPropsVTypes"/>
</file>