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0a411cfada4dbb0782a2cde052a7779ea98e81b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for channels and languages that real labeled data does not reach.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datasets or clinical records;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augmented, or evaluated,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trained, augmented, or evaluated, and assessed in the S→S, R+S→R, or S→R regime (Section 2.3).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keyword searches of Google Scholar, arXiv, PubMed/MEDLINE, and the ACL Anthology,</w:t>
      </w:r>
      <w:r>
        <w:t xml:space="preserve"> </w:t>
      </w:r>
      <w:r>
        <w:t xml:space="preserve">supplemented by forward and backward citation tracing (snowballing) and by browsing recent issues of the</w:t>
      </w:r>
      <w:r>
        <w:t xml:space="preserve"> </w:t>
      </w:r>
      <w:r>
        <w:t xml:space="preserve">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This process is deliberately non-exhaustive: coverage reflects</w:t>
      </w:r>
      <w:r>
        <w:t xml:space="preserve"> </w:t>
      </w:r>
      <w:r>
        <w:t xml:space="preserve">targeted search rather than a preregistered protocol, so where Section 2.4 counts works by task, those are</w:t>
      </w:r>
      <w:r>
        <w:t xml:space="preserve"> </w:t>
      </w:r>
      <w:r>
        <w:t xml:space="preserve">counts within the reviewed set, indicating relative attention among the papers surveyed rather than field-wide</w:t>
      </w:r>
      <w:r>
        <w:t xml:space="preserve"> </w:t>
      </w:r>
      <w:r>
        <w:t xml:space="preserve">prevalence.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Across most Section 3 studies the principal classification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 within the reviewed corpus (a targeted, non-exhaustive set rather than a</w:t>
      </w:r>
      <w:r>
        <w:t xml:space="preserve"> </w:t>
      </w:r>
      <w:r>
        <w:t xml:space="preserve">census), attention concentrates in patient simulation and professional training (fourteen works),</w:t>
      </w:r>
      <w:r>
        <w:t xml:space="preserve"> </w:t>
      </w:r>
      <w:r>
        <w:t xml:space="preserve">summarization (ten), and information extraction and benchmark construction (nine each), with privacy,</w:t>
      </w:r>
      <w:r>
        <w:t xml:space="preserve"> </w:t>
      </w:r>
      <w:r>
        <w:t xml:space="preserve">augmentation, and distillation cutting across (twelve); triage and routing, clinical coding, and handoff are</w:t>
      </w:r>
      <w:r>
        <w:t xml:space="preserve"> </w:t>
      </w:r>
      <w:r>
        <w:t xml:space="preserve">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trained, augmented, or evaluated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, augmented, or evaluat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five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two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often beat evaluated zero-shot baselines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often outperforms the evaluated zero-shot LLM baseline, though not universally (the postpartum study, §3.2.2, is a counterexample)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§3.2.1, §3.2.3, §3.2.4,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held-out degraded synthetic input intended to mimic real-world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Source-fixed labels, audited where a judge is used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or derived from the source scenario; where used, an LLM judge audits label quality, giving both control and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publicly shareable datasets and artifacts, generation scripts, and model configurations for the ten</w:t>
      </w:r>
      <w:r>
        <w:t xml:space="preserve"> </w:t>
      </w:r>
      <w:r>
        <w:t xml:space="preserve">application studies in Section 3 are provided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reproduce.py + real-labeled test set; synthetic augmentation not redistributed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69">
        <w:r>
          <w:rPr>
            <w:rStyle w:val="Hyperlink"/>
          </w:rPr>
          <w:t xml:space="preserve">doi:10.1007/s41666-026-00229-9</w:t>
        </w:r>
      </w:hyperlink>
    </w:p>
    <w:bookmarkEnd w:id="70"/>
    <w:bookmarkEnd w:id="71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2026-08-09T08:19:51Z</dcterms:created>
  <dcterms:modified xsi:type="dcterms:W3CDTF">2026-08-09T08:19:51Z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