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0a411cfada4dbb0782a2cde052a7779ea98e81b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for channels and languages that real labeled data does not reach.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datasets or clinical records;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augmented, or evaluated,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trained, augmented, or evaluated, and assessed in the S→S, R+S→R, or S→R regime (Section 2.3).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as a framework rather than a diagram, the pipeline exposes six decision dimensions, each of which forces</w:t>
      </w:r>
      <w:r>
        <w:t xml:space="preserve"> </w:t>
      </w:r>
      <w:r>
        <w:t xml:space="preserve">a concrete design choice: (i) </w:t>
      </w:r>
      <w:r>
        <w:rPr>
          <w:b/>
          <w:bCs/>
        </w:rPr>
        <w:t xml:space="preserve">source grounding</w:t>
      </w:r>
      <w:r>
        <w:t xml:space="preserve">, how tightly generation is tied to real records,</w:t>
      </w:r>
      <w:r>
        <w:t xml:space="preserve"> </w:t>
      </w:r>
      <w:r>
        <w:t xml:space="preserve">labels, or scenarios, which sets the ceiling on factual fidelity (Section 2.2); (ii) </w:t>
      </w:r>
      <w:r>
        <w:rPr>
          <w:b/>
          <w:bCs/>
        </w:rPr>
        <w:t xml:space="preserve">communication</w:t>
      </w:r>
      <w:r>
        <w:rPr>
          <w:b/>
          <w:bCs/>
        </w:rPr>
        <w:t xml:space="preserve"> </w:t>
      </w:r>
      <w:r>
        <w:rPr>
          <w:b/>
          <w:bCs/>
        </w:rPr>
        <w:t xml:space="preserve">channel</w:t>
      </w:r>
      <w:r>
        <w:t xml:space="preserve">, which fixes the participants, register, and failure modes to reproduce (Section 2.1);</w:t>
      </w:r>
      <w:r>
        <w:t xml:space="preserve"> </w:t>
      </w:r>
      <w:r>
        <w:t xml:space="preserve">(iii) </w:t>
      </w:r>
      <w:r>
        <w:rPr>
          <w:b/>
          <w:bCs/>
        </w:rPr>
        <w:t xml:space="preserve">controlled communication properties</w:t>
      </w:r>
      <w:r>
        <w:t xml:space="preserve">, the role, intent, uncertainty, missingness, style, and</w:t>
      </w:r>
      <w:r>
        <w:t xml:space="preserve"> </w:t>
      </w:r>
      <w:r>
        <w:t xml:space="preserve">noise deliberately injected (Section 2.2); (iv) </w:t>
      </w:r>
      <w:r>
        <w:rPr>
          <w:b/>
          <w:bCs/>
        </w:rPr>
        <w:t xml:space="preserve">generation strategy</w:t>
      </w:r>
      <w:r>
        <w:t xml:space="preserve">, from single-shot</w:t>
      </w:r>
      <w:r>
        <w:t xml:space="preserve"> </w:t>
      </w:r>
      <w:r>
        <w:t xml:space="preserve">prompting to multi-agent simulation and audio-plus-ASR degradation, traded against cost and diversity;</w:t>
      </w:r>
      <w:r>
        <w:t xml:space="preserve"> </w:t>
      </w:r>
      <w:r>
        <w:t xml:space="preserve">(v) </w:t>
      </w:r>
      <w:r>
        <w:rPr>
          <w:b/>
          <w:bCs/>
        </w:rPr>
        <w:t xml:space="preserve">downstream task</w:t>
      </w:r>
      <w:r>
        <w:t xml:space="preserve">, training, augmentation, or evaluation, which determines what labels the</w:t>
      </w:r>
      <w:r>
        <w:t xml:space="preserve"> </w:t>
      </w:r>
      <w:r>
        <w:t xml:space="preserve">generator must carry; and (vi) </w:t>
      </w:r>
      <w:r>
        <w:rPr>
          <w:b/>
          <w:bCs/>
        </w:rPr>
        <w:t xml:space="preserve">evaluation regime</w:t>
      </w:r>
      <w:r>
        <w:t xml:space="preserve">,</w:t>
      </w:r>
      <w:r>
        <w:t xml:space="preserve"> </w:t>
      </w:r>
      <w:r>
        <w:rPr>
          <w:i/>
          <w:iCs/>
        </w:rPr>
        <w:t xml:space="preserve">S→S</w:t>
      </w:r>
      <w:r>
        <w:t xml:space="preserve">,</w:t>
      </w:r>
      <w:r>
        <w:t xml:space="preserve"> </w:t>
      </w:r>
      <w:r>
        <w:rPr>
          <w:i/>
          <w:iCs/>
        </w:rPr>
        <w:t xml:space="preserve">R+S→R</w:t>
      </w:r>
      <w:r>
        <w:t xml:space="preserve">, or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(Section 2.3), which decides how far a result can be trusted. The ten application studies</w:t>
      </w:r>
      <w:r>
        <w:t xml:space="preserve"> </w:t>
      </w:r>
      <w:r>
        <w:t xml:space="preserve">(Section 3) are points in this space; the choices they share are distilled into the reusable design</w:t>
      </w:r>
      <w:r>
        <w:t xml:space="preserve"> </w:t>
      </w:r>
      <w:r>
        <w:t xml:space="preserve">patterns of Table 18 and the channel recipe at the end of Section 2.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The work spans three concerns of healthcare informatics:</w:t>
      </w:r>
      <w:r>
        <w:t xml:space="preserve"> </w:t>
      </w:r>
      <w:r>
        <w:t xml:space="preserve">analytics, in the generative-AI and machine-learning methods used to produce and process clinical text;</w:t>
      </w:r>
      <w:r>
        <w:t xml:space="preserve"> </w:t>
      </w:r>
      <w:r>
        <w:t xml:space="preserve">systems, in building natural language processing for under-served communication channels; and</w:t>
      </w:r>
      <w:r>
        <w:t xml:space="preserve"> </w:t>
      </w:r>
      <w:r>
        <w:t xml:space="preserve">human-centered computing, in the clinician and patient communication these systems ultimately serve.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A concurrent scoping review in this journal surveys language-model synthetic data across biomedical research by data utility and quality, but organizes the field by those axes rather than by clinical-communication channel and pairs with no application studies</w:t>
      </w:r>
      <w:r>
        <w:rPr>
          <w:vertAlign w:val="superscript"/>
        </w:rPr>
        <w:t xml:space="preserve">[110]</w:t>
      </w:r>
      <w:r>
        <w:t xml:space="preserve">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Rao et al. [110]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Biomedical synthetic text/data; not by communication channel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keyword searches of Google Scholar, arXiv, PubMed/MEDLINE, and the ACL Anthology,</w:t>
      </w:r>
      <w:r>
        <w:t xml:space="preserve"> </w:t>
      </w:r>
      <w:r>
        <w:t xml:space="preserve">supplemented by forward and backward citation tracing (snowballing) and by browsing recent issues of the</w:t>
      </w:r>
      <w:r>
        <w:t xml:space="preserve"> </w:t>
      </w:r>
      <w:r>
        <w:t xml:space="preserve">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This process is deliberately non-exhaustive: coverage reflects</w:t>
      </w:r>
      <w:r>
        <w:t xml:space="preserve"> </w:t>
      </w:r>
      <w:r>
        <w:t xml:space="preserve">targeted search rather than a preregistered protocol, so where Section 2.4 counts works by task, those are</w:t>
      </w:r>
      <w:r>
        <w:t xml:space="preserve"> </w:t>
      </w:r>
      <w:r>
        <w:t xml:space="preserve">counts within the reviewed set, indicating relative attention among the papers surveyed rather than field-wide</w:t>
      </w:r>
      <w:r>
        <w:t xml:space="preserve"> </w:t>
      </w:r>
      <w:r>
        <w:t xml:space="preserve">prevalence.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Across most Section 3 studies the principal classification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 within the reviewed corpus (a targeted, non-exhaustive set rather than a</w:t>
      </w:r>
      <w:r>
        <w:t xml:space="preserve"> </w:t>
      </w:r>
      <w:r>
        <w:t xml:space="preserve">census), attention concentrates in patient simulation and professional training (fourteen works),</w:t>
      </w:r>
      <w:r>
        <w:t xml:space="preserve"> </w:t>
      </w:r>
      <w:r>
        <w:t xml:space="preserve">summarization (ten), and information extraction and benchmark construction (nine each), with privacy,</w:t>
      </w:r>
      <w:r>
        <w:t xml:space="preserve"> </w:t>
      </w:r>
      <w:r>
        <w:t xml:space="preserve">augmentation, and distillation cutting across (twelve); triage and routing, clinical coding, and handoff are</w:t>
      </w:r>
      <w:r>
        <w:t xml:space="preserve"> </w:t>
      </w:r>
      <w:r>
        <w:t xml:space="preserve">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it; nine train a downstream model on the synthetic communication, while the adaptive diagnostic-questioning</w:t>
      </w:r>
      <w:r>
        <w:t xml:space="preserve"> </w:t>
      </w:r>
      <w:r>
        <w:t xml:space="preserve">study (Section 3.1.2) uses it as an evaluation testbed rather than for training.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trained, augmented, or evaluated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, augmented, or evaluat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five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two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often beat evaluated zero-shot baselines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often outperforms the evaluated zero-shot LLM baseline, though not universally (the postpartum study, §3.2.2, is a counterexample)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§3.2.1, §3.2.3, §3.2.4,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held-out degraded synthetic input intended to mimic real-world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Source-fixed labels, audited where a judge is used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or derived from the source scenario; where used, an LLM judge audits label quality, giving both control and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publicly shareable datasets and artifacts, generation scripts, and model configurations for the ten</w:t>
      </w:r>
      <w:r>
        <w:t xml:space="preserve"> </w:t>
      </w:r>
      <w:r>
        <w:t xml:space="preserve">application studies in Section 3 are provided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make each headline result auditable at a glance, Table 20 records, per study, the generator that</w:t>
      </w:r>
      <w:r>
        <w:t xml:space="preserve"> </w:t>
      </w:r>
      <w:r>
        <w:t xml:space="preserve">produced the synthetic communication, the downstream model whose result is reported, the train/test split and</w:t>
      </w:r>
      <w:r>
        <w:t xml:space="preserve"> </w:t>
      </w:r>
      <w:r>
        <w:t xml:space="preserve">random seed, and the evaluation regime, together with what ships for reproduction. A five-seed sweep of the</w:t>
      </w:r>
      <w:r>
        <w:t xml:space="preserve"> </w:t>
      </w:r>
      <w:r>
        <w:t xml:space="preserve">reproducible pipeline (the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 above) and its per-seed values are recorded in</w:t>
      </w:r>
      <w:r>
        <w:t xml:space="preserve"> </w:t>
      </w:r>
      <w:r>
        <w:rPr>
          <w:rStyle w:val="VerbatimChar"/>
        </w:rPr>
        <w:t xml:space="preserve">CaseStudies/reproducibility_seed_stability.json</w:t>
      </w:r>
      <w:r>
        <w:t xml:space="preserve"> </w:t>
      </w:r>
      <w:r>
        <w:t xml:space="preserve">and summarized in</w:t>
      </w:r>
      <w:r>
        <w:t xml:space="preserve"> </w:t>
      </w:r>
      <w:r>
        <w:rPr>
          <w:rStyle w:val="VerbatimChar"/>
        </w:rPr>
        <w:t xml:space="preserve">CaseStudies/REPRODUCE.md</w:t>
      </w:r>
      <w:r>
        <w:t xml:space="preserve">, which also flags the studies that ship a size-capped sample rather than</w:t>
      </w:r>
      <w:r>
        <w:t xml:space="preserve"> </w:t>
      </w:r>
      <w:r>
        <w:t xml:space="preserve">the full corpus.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Generator (LLM)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Headline downstream 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Split /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Regime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Ships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LLM questioning benchmark (no trained classifier)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n/a (benchmark)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data + reproduce.py (metric re-eval)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FLAN-T5 (vs BERT, ClinicalBERT, NB)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 (MIMIC-IV-ED-seeded)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LR, T5)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Qwen2.5-0.5B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heads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cascade (vs Bi-LSTM)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12345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Gemma2-27B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TF-IDF+LR)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fixed shipped split,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/ BlueBERT (vs SVM)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</w:rPr>
              <w:t xml:space="preserve">R+S→R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reproduce.py + real-labeled test set; synthetic augmentation not redistributed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LightGBM (TF-IDF + vitals fusion)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GPT-4.1-mini (MIMIC-IV-Ext,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OpenAI batch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 / hierarchical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5" w:name="statements-and-declarations"/>
    <w:p>
      <w:pPr>
        <w:pStyle w:val="Heading2"/>
        <w:keepNext/>
        <w:keepLines/>
        <w:widowControl w:val="1"/>
      </w:pPr>
      <w:r>
        <w:t xml:space="preserve">Statements and Declarations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Funding.</w:t>
      </w:r>
      <w:r>
        <w:t xml:space="preserve"> </w:t>
      </w:r>
      <w:r>
        <w:t xml:space="preserve">The authors did not receive support from any organization for the submitted work.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have no relevant financial or non-financial interests to disclose.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The datasets and reproduction code are publicly available on Zenodo (doi:10.5281/zenodo.21820227) and on GitHub.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Alexander Apartsin and Yehudit Aperstein contributed equally to this work. Both authors conceived and designed the study, performed the analysis, and wrote, reviewed, and edited the manuscript; both approved the final version.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applicable. The study uses LLM-generated synthetic data and publicly available datasets; it involves no human participants or identifiable patient data.</w:t>
      </w:r>
    </w:p>
    <w:bookmarkEnd w:id="65"/>
    <w:bookmarkStart w:id="71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6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7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8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9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110. </w:t>
      </w:r>
      <w:r>
        <w:t xml:space="preserve">H. Rao, W. Liu, H. Wang, I.-C. Huang, Z. He, X. Huang. A Scoping Review of Synthetic Data Generation by Language Models in Biomedical Research and Application: Data Utility and Quality Perspectives.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, 10(2), 2026.</w:t>
      </w:r>
      <w:r>
        <w:t xml:space="preserve"> </w:t>
      </w:r>
      <w:hyperlink r:id="rId70">
        <w:r>
          <w:rPr>
            <w:rStyle w:val="Hyperlink"/>
          </w:rPr>
          <w:t xml:space="preserve">doi:10.1007/s41666-026-00229-9</w:t>
        </w:r>
      </w:hyperlink>
    </w:p>
    <w:bookmarkEnd w:id="71"/>
    <w:bookmarkEnd w:id="72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70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6" Type="http://schemas.openxmlformats.org/officeDocument/2006/relationships/hyperlink" Target="https://doi.org/10.7910/DVN/CG9X6D" TargetMode="External"/><Relationship Id="rId67" Type="http://schemas.openxmlformats.org/officeDocument/2006/relationships/hyperlink" Target="https://www.candello.com/Insights/Candello-Reports" TargetMode="External"/><Relationship Id="rId68" Type="http://schemas.openxmlformats.org/officeDocument/2006/relationships/hyperlink" Target="https://www.jointcommission.org/resources/sentinel-event/sentinel-event-data-summary/" TargetMode="External"/><Relationship Id="rId69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6" Type="http://schemas.openxmlformats.org/officeDocument/2006/relationships/hyperlink" Target="https://doi.org/10.7910/DVN/CG9X6D" TargetMode="External"/><Relationship Id="rId67" Type="http://schemas.openxmlformats.org/officeDocument/2006/relationships/hyperlink" Target="https://www.candello.com/Insights/Candello-Reports" TargetMode="External"/><Relationship Id="rId68" Type="http://schemas.openxmlformats.org/officeDocument/2006/relationships/hyperlink" Target="https://www.jointcommission.org/resources/sentinel-event/sentinel-event-data-summary/" TargetMode="External"/><Relationship Id="rId69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2026-08-09T08:19:57Z</dcterms:created>
  <dcterms:modified xsi:type="dcterms:W3CDTF">2026-08-09T08:19:57Z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