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Synthetic clinical text lets language models be trained where real data is scarce.</w:t>
      </w:r>
    </w:p>
    <w:p>
      <w:pPr>
        <w:pStyle w:val="ListBullet"/>
      </w:pPr>
      <w:r>
        <w:t>A channel taxonomy unifies dialogue, portal, dispatch, and handover communication.</w:t>
      </w:r>
    </w:p>
    <w:p>
      <w:pPr>
        <w:pStyle w:val="ListBullet"/>
      </w:pPr>
      <w:r>
        <w:t>Ten case studies build clinical text systems with no labeled real-world data.</w:t>
      </w:r>
    </w:p>
    <w:p>
      <w:pPr>
        <w:pStyle w:val="ListBullet"/>
      </w:pPr>
      <w:r>
        <w:t>Small fine-tuned models on synthetic text beat large models used without training.</w:t>
      </w:r>
    </w:p>
    <w:p>
      <w:pPr>
        <w:pStyle w:val="ListBullet"/>
      </w:pPr>
      <w:r>
        <w:t>Testing on real communication after synthetic training is the key open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