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bookmarkStart w:id="9" w:name="highlights"/>
    <w:p>
      <w:pPr>
        <w:pStyle w:val="Heading2"/>
        <w:keepNext/>
        <w:keepLines/>
        <w:widowControl w:val="1"/>
      </w:pPr>
      <w:r>
        <w:t xml:space="preserve">Highlights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Synthetic clinical text lets language models be trained where real data is scarce.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channel taxonomy unifies dialogue, portal, dispatch, and handover communication.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Ten case studies build clinical text systems with no labeled real-world data.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Small fine-tuned models on synthetic text beat large models used without training.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Testing on real communication after synthetic training is the key open problem.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nurse handoffs, and</w:t>
      </w:r>
      <w:r>
        <w:t xml:space="preserve"> </w:t>
      </w:r>
      <w:r>
        <w:t xml:space="preserve">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central limitation is</w:t>
      </w:r>
      <w:r>
        <w:t xml:space="preserve"> </w:t>
      </w:r>
      <w:r>
        <w:t xml:space="preserve">that most studies evaluate on held-out synthetic communication, with train-on-synthetic,</w:t>
      </w:r>
      <w:r>
        <w:t xml:space="preserve"> </w:t>
      </w:r>
      <w:r>
        <w:t xml:space="preserve">test-on-authentic evidence still accumulating.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Synthetic data; Natural language processing; Large language models; Clinical communication; Electronic health records; Data augmentation</w:t>
      </w:r>
    </w:p>
    <w:bookmarkEnd w:id="9"/>
    <w:bookmarkStart w:id="13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1" name="Picture"/>
            <a:graphic>
              <a:graphicData uri="http://schemas.openxmlformats.org/drawingml/2006/picture">
                <pic:pic>
                  <pic:nvPicPr>
                    <pic:cNvPr descr="figures/fig0_landscap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3"/>
    <w:bookmarkStart w:id="25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7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4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4"/>
    <w:bookmarkStart w:id="15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5"/>
    <w:bookmarkStart w:id="16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6"/>
    <w:bookmarkEnd w:id="17"/>
    <w:bookmarkStart w:id="22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8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8"/>
    <w:bookmarkStart w:id="19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9"/>
    <w:bookmarkStart w:id="20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20"/>
    <w:bookmarkStart w:id="21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1"/>
    <w:bookmarkEnd w:id="22"/>
    <w:bookmarkStart w:id="23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reports results on</w:t>
      </w:r>
      <w:r>
        <w:t xml:space="preserve"> </w:t>
      </w:r>
      <w:r>
        <w:t xml:space="preserve">authentic patient-authored text; of the nine,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3"/>
    <w:bookmarkStart w:id="24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4"/>
    <w:bookmarkEnd w:id="25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9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6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77.5%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6"/>
    <w:bookmarkStart w:id="27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7"/>
    <w:bookmarkStart w:id="28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8"/>
    <w:bookmarkEnd w:id="29"/>
    <w:bookmarkStart w:id="44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3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1" name="Picture"/>
            <a:graphic>
              <a:graphicData uri="http://schemas.openxmlformats.org/drawingml/2006/picture">
                <pic:pic>
                  <pic:nvPicPr>
                    <pic:cNvPr descr="figures/fig2_portal_triag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3"/>
    <w:bookmarkStart w:id="37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5" name="Picture"/>
            <a:graphic>
              <a:graphicData uri="http://schemas.openxmlformats.org/drawingml/2006/picture">
                <pic:pic>
                  <pic:nvPicPr>
                    <pic:cNvPr descr="figures/fig3_csection_confusi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7"/>
    <w:bookmarkStart w:id="38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8"/>
    <w:bookmarkStart w:id="39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9"/>
    <w:bookmarkStart w:id="43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0.971 accuracy and 0.972 macro-F1,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1" name="Picture"/>
            <a:graphic>
              <a:graphicData uri="http://schemas.openxmlformats.org/drawingml/2006/picture">
                <pic:pic>
                  <pic:nvPicPr>
                    <pic:cNvPr descr="figures/fig4_homecare_recal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3"/>
    <w:bookmarkEnd w:id="44"/>
    <w:bookmarkStart w:id="53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8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6" name="Picture"/>
            <a:graphic>
              <a:graphicData uri="http://schemas.openxmlformats.org/drawingml/2006/picture">
                <pic:pic>
                  <pic:nvPicPr>
                    <pic:cNvPr descr="figures/fig5_medalert_macrof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8"/>
    <w:bookmarkStart w:id="52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50" name="Picture"/>
            <a:graphic>
              <a:graphicData uri="http://schemas.openxmlformats.org/drawingml/2006/picture">
                <pic:pic>
                  <pic:nvPicPr>
                    <pic:cNvPr descr="figures/fig7_sbar_macrof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2"/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is narrative rather than systematic, so its coverage reflects</w:t>
      </w:r>
      <w:r>
        <w:t xml:space="preserve"> </w:t>
      </w:r>
      <w:r>
        <w:t xml:space="preserve">targeted search and citation tracing rather than an exhaustive protocol, and fast-moving preprint work will</w:t>
      </w:r>
      <w:r>
        <w:t xml:space="preserve"> </w:t>
      </w:r>
      <w:r>
        <w:t xml:space="preserve">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17)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18)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one further study grounds generation in real clinical records, tracing EMS routing to MIMIC-IV cases (Section 3.3.1).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65" w:name="credit-authorship-contribution-statement"/>
    <w:p>
      <w:pPr>
        <w:pStyle w:val="Heading2"/>
        <w:keepNext/>
        <w:keepLines/>
        <w:widowControl w:val="1"/>
      </w:pPr>
      <w:r>
        <w:t xml:space="preserve">CRediT authorship contribution statement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Alexander Apartsin:</w:t>
      </w:r>
      <w:r>
        <w:t xml:space="preserve"> </w:t>
      </w:r>
      <w:r>
        <w:t xml:space="preserve">Conceptualization, Methodology, Software, Writing – original draft, Supervision.</w:t>
      </w:r>
      <w:r>
        <w:t xml:space="preserve"> </w:t>
      </w:r>
      <w:r>
        <w:rPr>
          <w:b/>
          <w:bCs/>
        </w:rPr>
        <w:t xml:space="preserve">Yehudit Aperstein:</w:t>
      </w:r>
      <w:r>
        <w:t xml:space="preserve"> </w:t>
      </w:r>
      <w:r>
        <w:t xml:space="preserve">Conceptualization, Writing – review &amp; editing, Supervision.</w:t>
      </w:r>
    </w:p>
    <w:bookmarkEnd w:id="65"/>
    <w:bookmarkStart w:id="66" w:name="declaration-of-competing-interest"/>
    <w:p>
      <w:pPr>
        <w:pStyle w:val="Heading2"/>
        <w:keepNext/>
        <w:keepLines/>
        <w:widowControl w:val="1"/>
      </w:pPr>
      <w:r>
        <w:t xml:space="preserve">Declaration of competing interest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authors declare that they have no known competing financial interests or personal relationships that could have appeared to influence the work reported in this paper.</w:t>
      </w:r>
    </w:p>
    <w:bookmarkEnd w:id="66"/>
    <w:bookmarkStart w:id="67" w:name="funding"/>
    <w:p>
      <w:pPr>
        <w:pStyle w:val="Heading2"/>
        <w:keepNext/>
        <w:keepLines/>
        <w:widowControl w:val="1"/>
      </w:pPr>
      <w:r>
        <w:t xml:space="preserve">Funding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research did not receive any specific grant from funding agencies in the public, commercial, or not-for-profit sectors.</w:t>
      </w:r>
    </w:p>
    <w:bookmarkEnd w:id="67"/>
    <w:bookmarkStart w:id="72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8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9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70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71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72"/>
    <w:bookmarkEnd w:id="73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lnNumType w:countBy="1" w:start="1" w:restart="continuous" w:distance="36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480" w:lineRule="auto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480" w:lineRule="auto"/>
      <w:ind w:firstLine="720"/>
      <w:jc w:val="both"/>
    </w:pPr>
    <w:rPr>
      <w:rFonts w:ascii="Times New Roman" w:hAnsi="Times New Roman"/>
      <w:b w:val="0"/>
      <w:i w:val="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480" w:lineRule="auto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4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4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40" Type="http://schemas.openxmlformats.org/officeDocument/2006/relationships/image" Target="media/rId40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62" Type="http://schemas.openxmlformats.org/officeDocument/2006/relationships/hyperlink" Target="https://doi.org/10.5281/zenodo.21820227" TargetMode="External"/><Relationship Id="rId68" Type="http://schemas.openxmlformats.org/officeDocument/2006/relationships/hyperlink" Target="https://doi.org/10.7910/DVN/CG9X6D" TargetMode="External"/><Relationship Id="rId69" Type="http://schemas.openxmlformats.org/officeDocument/2006/relationships/hyperlink" Target="https://www.candello.com/Insights/Candello-Reports" TargetMode="External"/><Relationship Id="rId70" Type="http://schemas.openxmlformats.org/officeDocument/2006/relationships/hyperlink" Target="https://www.jointcommission.org/resources/sentinel-event/sentinel-event-data-summary/" TargetMode="External"/><Relationship Id="rId71" Type="http://schemas.openxmlformats.org/officeDocument/2006/relationships/hyperlink" Target="https://www.kaggle.com/datasets/niyarrbarman/symptom2disease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doi.org/10.5281/zenodo.21820227" TargetMode="External"/><Relationship Id="rId68" Type="http://schemas.openxmlformats.org/officeDocument/2006/relationships/hyperlink" Target="https://doi.org/10.7910/DVN/CG9X6D" TargetMode="External"/><Relationship Id="rId69" Type="http://schemas.openxmlformats.org/officeDocument/2006/relationships/hyperlink" Target="https://www.candello.com/Insights/Candello-Reports" TargetMode="External"/><Relationship Id="rId70" Type="http://schemas.openxmlformats.org/officeDocument/2006/relationships/hyperlink" Target="https://www.jointcommission.org/resources/sentinel-event/sentinel-event-data-summary/" TargetMode="External"/><Relationship Id="rId71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2026-08-08T16:37:41Z</dcterms:created>
  <dcterms:modified xsi:type="dcterms:W3CDTF">2026-08-08T16:37:41Z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