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83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4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6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4" name="Picture"/>
            <a:graphic>
              <a:graphicData uri="http://schemas.openxmlformats.org/drawingml/2006/picture">
                <pic:pic>
                  <pic:nvPicPr>
                    <pic:cNvPr descr="figures/fig0_landscap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(13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6"/>
    <w:bookmarkStart w:id="28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20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7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7"/>
    <w:bookmarkStart w:id="18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8"/>
    <w:bookmarkStart w:id="19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9"/>
    <w:bookmarkEnd w:id="20"/>
    <w:bookmarkStart w:id="25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21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21"/>
    <w:bookmarkStart w:id="22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22"/>
    <w:bookmarkStart w:id="23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3"/>
    <w:bookmarkStart w:id="24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4"/>
    <w:bookmarkEnd w:id="25"/>
    <w:bookmarkStart w:id="26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thirteen application studies in</w:t>
      </w:r>
      <w:r>
        <w:t xml:space="preserve"> </w:t>
      </w:r>
      <w:r>
        <w:t xml:space="preserve">Section 3, twelve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3.3.5) reports results on</w:t>
      </w:r>
      <w:r>
        <w:t xml:space="preserve"> </w:t>
      </w:r>
      <w:r>
        <w:t xml:space="preserve">authentic patient-authored text; of the twelve, five generate from real clinical records or datasets</w:t>
      </w:r>
      <w:r>
        <w:t xml:space="preserve"> </w:t>
      </w:r>
      <w:r>
        <w:t xml:space="preserve">(Sections 3.1.1, 3.1.2, 3.1.3, 3.2.1, and 3.4.1) and seven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[109]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6"/>
    <w:bookmarkStart w:id="27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thirteen studies target portal messaging and these pre-hospital and handoff channels, and all but one</w:t>
      </w:r>
      <w:r>
        <w:t xml:space="preserve"> </w:t>
      </w:r>
      <w:r>
        <w:t xml:space="preserve">(Section 3.3.5)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7"/>
    <w:bookmarkEnd w:id="28"/>
    <w:bookmarkStart w:id="67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thirteen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32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9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9"/>
    <w:bookmarkStart w:id="30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0"/>
    <w:bookmarkStart w:id="31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1"/>
    <w:bookmarkEnd w:id="32"/>
    <w:bookmarkStart w:id="37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6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11, Figure 2).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MIMIC-III discharge summary (ulcerative colitis)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summary</w:t>
      </w:r>
      <w:r>
        <w:t xml:space="preserve"> </w:t>
      </w:r>
      <w:r>
        <w:t xml:space="preserve">“החולה אושפז עם אבחנה של קוליטיס כיבית … הוחל טיפול ב-Pantoprazole 40 mg פעם ביום.”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Translation</w:t>
      </w:r>
      <w:r>
        <w:t xml:space="preserve"> </w:t>
      </w:r>
      <w:r>
        <w:t xml:space="preserve">“The patient was admitted with a diagnosis of ulcerative colitis … Treatment with Pantoprazole 40 mg once daily was started.”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Clinical-decision span: drug_decision: start Pantoprazole 40 mg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284976" cy="3724655"/>
            <wp:effectExtent b="0" l="0" r="0" t="0"/>
            <wp:docPr descr="Model comparison for clinical-decision extraction" title="" id="34" name="Picture"/>
            <a:graphic>
              <a:graphicData uri="http://schemas.openxmlformats.org/drawingml/2006/picture">
                <pic:pic>
                  <pic:nvPicPr>
                    <pic:cNvPr descr="figures/fig1_crosslingual_f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4976" cy="3724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6"/>
    <w:bookmarkEnd w:id="37"/>
    <w:bookmarkStart w:id="53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41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12, Figure 3).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9" name="Picture"/>
            <a:graphic>
              <a:graphicData uri="http://schemas.openxmlformats.org/drawingml/2006/picture">
                <pic:pic>
                  <pic:nvPicPr>
                    <pic:cNvPr descr="figures/fig2_portal_tri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1"/>
    <w:bookmarkStart w:id="45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13, Figure 4).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43" name="Picture"/>
            <a:graphic>
              <a:graphicData uri="http://schemas.openxmlformats.org/drawingml/2006/picture">
                <pic:pic>
                  <pic:nvPicPr>
                    <pic:cNvPr descr="figures/fig3_csection_confus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5"/>
    <w:bookmarkStart w:id="46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14);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Prior record: Dermatology, oily skin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“Hey doc, I’m breaking out like crazy! It’s so embarrassing and I can’t even wear a shirt without getting covered up. Can you help me fix this? Also, could there be any connection to my weight gain from eating too much junk food?”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Priority: MEDIUM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6"/>
    <w:bookmarkStart w:id="47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15).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48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16);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8"/>
    <w:bookmarkStart w:id="52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5);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50" name="Picture"/>
            <a:graphic>
              <a:graphicData uri="http://schemas.openxmlformats.org/drawingml/2006/picture">
                <pic:pic>
                  <pic:nvPicPr>
                    <pic:cNvPr descr="figures/fig4_homecare_recal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2"/>
    <w:bookmarkEnd w:id="53"/>
    <w:bookmarkStart w:id="66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7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17, Figure 6).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5" name="Picture"/>
            <a:graphic>
              <a:graphicData uri="http://schemas.openxmlformats.org/drawingml/2006/picture">
                <pic:pic>
                  <pic:nvPicPr>
                    <pic:cNvPr descr="figures/fig5_medalert_macrof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7"/>
    <w:bookmarkStart w:id="61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18, Figure 7).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Field-radio casualty report (high noise), medic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transcript</w:t>
      </w:r>
      <w:r>
        <w:t xml:space="preserve"> </w:t>
      </w:r>
      <w:r>
        <w:t xml:space="preserve">“קשר מפקד, יש לנו פצוע קשה, קטיעה! יד ימין – קטיעה מוחלטת. דחוף, תוציאו פינוי דחוף! … הלב – דופק חלש … נשימה קשה … שמונים וחמש!”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Translation</w:t>
      </w:r>
      <w:r>
        <w:t xml:space="preserve"> </w:t>
      </w:r>
      <w:r>
        <w:t xml:space="preserve">“Command, we have a serious casualty, amputation! Right arm – complete amputation. Urgent, get evacuation, urgent! … Heart – weak pulse … breathing labored … eighty-five!”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Mechanism: amputation · site: right arm · evac: immediate · SpO₂ 85% · pulse: weak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2791498"/>
            <wp:effectExtent b="0" l="0" r="0" t="0"/>
            <wp:docPr descr="Casualty-record reconstruction model comparison" title="" id="59" name="Picture"/>
            <a:graphic>
              <a:graphicData uri="http://schemas.openxmlformats.org/drawingml/2006/picture">
                <pic:pic>
                  <pic:nvPicPr>
                    <pic:cNvPr descr="figures/fig6_casualty_reconstruc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91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61"/>
    <w:bookmarkStart w:id="65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19, Figure 8).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63" name="Picture"/>
            <a:graphic>
              <a:graphicData uri="http://schemas.openxmlformats.org/drawingml/2006/picture">
                <pic:pic>
                  <pic:nvPicPr>
                    <pic:cNvPr descr="figures/fig7_sbar_macrof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8.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65"/>
    <w:bookmarkEnd w:id="66"/>
    <w:bookmarkEnd w:id="67"/>
    <w:bookmarkStart w:id="72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8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8"/>
    <w:bookmarkStart w:id="69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9"/>
    <w:bookmarkStart w:id="70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70"/>
    <w:bookmarkStart w:id="71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 with one Hebrew case,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71"/>
    <w:bookmarkEnd w:id="72"/>
    <w:bookmarkStart w:id="73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73"/>
    <w:bookmarkStart w:id="74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20)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[110]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21)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21.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1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§3.3.4)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communication; held-out synthetic evaluation cannot detect it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4"/>
    <w:bookmarkStart w:id="76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5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6"/>
    <w:bookmarkStart w:id="77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7"/>
    <w:bookmarkStart w:id="8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8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9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80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81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110.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82"/>
    <w:bookmarkEnd w:id="83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54" Type="http://schemas.openxmlformats.org/officeDocument/2006/relationships/image" Target="media/rId54.png"/><Relationship Id="rId58" Type="http://schemas.openxmlformats.org/officeDocument/2006/relationships/image" Target="media/rId58.png"/><Relationship Id="rId62" Type="http://schemas.openxmlformats.org/officeDocument/2006/relationships/image" Target="media/rId62.png"/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4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2026-08-08T03:15:06Z</dcterms:created>
  <dcterms:modified xsi:type="dcterms:W3CDTF">2026-08-08T03:15:06Z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