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color w:val="CC0000"/>
          <w:sz w:val="22"/>
          <w:vertAlign w:val="superscript"/>
        </w:rPr>
        <w:t xml:space="preserve">1</w:t>
      </w:r>
      <w:r>
        <w:rPr>
          <w:rFonts w:ascii="Times New Roman" w:hAnsi="Times New Roman"/>
          <w:b/>
          <w:i w:val="0"/>
          <w:sz w:val="22"/>
        </w:rPr>
        <w:t xml:space="preserve">   Yehudit Aperstein</w:t>
      </w:r>
      <w:r>
        <w:rPr>
          <w:rFonts w:ascii="Times New Roman" w:hAnsi="Times New Roman"/>
          <w:b/>
          <w:i w:val="0"/>
          <w:color w:val="CC0000"/>
          <w:sz w:val="22"/>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Searches were last updated in June 2026; representative query families combined a clinical-communication term (clinical dialogue, patient-portal message, triage note, handoff, SBAR, EMS report) with a synthesis term (LLM-generated, synthetic, GPT-generated) and a task term (classification, NLP, benchmark).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The authors thank colleagues at the Holon Institute of Technology (HIT) for helpful discussions.</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18"/>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18"/>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18"/>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18"/>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18"/>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18"/>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18"/>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18"/>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18"/>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18"/>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18"/>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18"/>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18"/>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18"/>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18"/>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18"/>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18"/>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18"/>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18"/>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18"/>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18"/>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18"/>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18"/>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18"/>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18"/>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18"/>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18"/>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18"/>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18"/>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18"/>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18"/>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18"/>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18"/>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18"/>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18"/>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18"/>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18"/>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18"/>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18"/>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18"/>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18"/>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18"/>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18"/>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18"/>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18"/>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18"/>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18"/>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18"/>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18"/>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18"/>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18"/>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18"/>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18"/>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18"/>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18"/>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18"/>
        </w:rPr>
        <w:t xml:space="preserve">71. </w:t>
      </w:r>
      <w:r>
        <w:rPr>
          <w:color w:val="CC0000"/>
        </w:rPr>
        <w:t xml:space="preserve">Shekhar AC, Kimbrell J, Saharan A, Stebel J, Ashley E, Abbott EE (2024)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18"/>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18"/>
        </w:rPr>
        <w:t xml:space="preserve">73. </w:t>
      </w:r>
      <w:r>
        <w:rPr>
          <w:color w:val="CC0000"/>
        </w:rPr>
        <w:t xml:space="preserve">Liu S, Wright AP, McCoy AB, Huang SS, Steitz B, Wright A (2025)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18"/>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18"/>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18"/>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18"/>
        </w:rPr>
        <w:t xml:space="preserve">78.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18"/>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18"/>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83. </w:t>
      </w:r>
      <w:r>
        <w:rPr>
          <w:color w:val="CC0000"/>
        </w:rPr>
        <w:t xml:space="preserve">Zeng J, Qi W, Shen S, Liu X, et al (2025)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84. </w:t>
      </w:r>
      <w:r>
        <w:rPr>
          <w:color w:val="CC0000"/>
        </w:rPr>
        <w:t xml:space="preserve">Li D, Lutfi SL (2026)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18"/>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18"/>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18"/>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18"/>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18"/>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18"/>
        </w:rPr>
        <w:t xml:space="preserve">92. </w:t>
      </w:r>
      <w:r>
        <w:rPr>
          <w:color w:val="CC0000"/>
        </w:rPr>
        <w:t xml:space="preserve">Meeus M, Wutschitz L, Zanella-Beguelin S, Tople S, Shokri R (2025)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18"/>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18"/>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18"/>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18"/>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97.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98.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99. </w:t>
      </w:r>
      <w:r>
        <w:rPr>
          <w:color w:val="CC0000"/>
        </w:rPr>
        <w:t xml:space="preserve">Gatto J, Seegmiller P, Burdick T, Resnik P, Rahat R, DeLozier S, Preum SM (2026)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18"/>
        </w:rPr>
        <w:t xml:space="preserve">100. </w:t>
      </w:r>
      <w:r>
        <w:rPr>
          <w:color w:val="CC0000"/>
        </w:rPr>
        <w:t xml:space="preserve">Li X, Yu H, Wang W, Wu Y, Zhou J, et al (2026)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18"/>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18"/>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18"/>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18"/>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18"/>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18"/>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18"/>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18"/>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18"/>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2026-08-09T12:07:20Z</dcterms:created>
  <dcterms:modified xsi:type="dcterms:W3CDTF">2026-08-09T12:07:20Z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