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9973f8a238724931489ceba3674175793b6a264"/>
    <w:p>
      <w:pPr>
        <w:pStyle w:val="Title"/>
        <w:spacing w:before="0" w:after="160"/>
        <w:jc w:val="center"/>
        <w:keepNext/>
        <w:keepLines/>
        <w:widowControl w:val="1"/>
      </w:pPr>
      <w:r>
        <w:t xml:space="preserve">Clinical Communication Processing with LLM-Generated Synthetic Data: A Framework, Structured Review, and Ten Application Case Studies</w:t>
      </w:r>
    </w:p>
    <w:p>
      <w:pPr>
        <w:pStyle w:val="Subtitle"/>
        <w:spacing w:before="0" w:after="40"/>
        <w:jc w:val="center"/>
        <w:keepNext/>
        <w:keepLines/>
        <w:widowControl w:val="1"/>
      </w:pPr>
      <w:r>
        <w:rPr>
          <w:rFonts w:ascii="Times New Roman" w:hAnsi="Times New Roman"/>
          <w:b/>
          <w:i w:val="0"/>
          <w:sz w:val="24"/>
        </w:rPr>
        <w:t xml:space="preserve">Alexander Apartsin</w:t>
      </w:r>
      <w:r>
        <w:rPr>
          <w:rFonts w:ascii="Times New Roman" w:hAnsi="Times New Roman"/>
          <w:b/>
          <w:i w:val="0"/>
          <w:color w:val="CC0000"/>
          <w:sz w:val="24"/>
          <w:vertAlign w:val="superscript"/>
        </w:rPr>
        <w:t xml:space="preserve">1</w:t>
      </w:r>
      <w:r>
        <w:rPr>
          <w:rFonts w:ascii="Times New Roman" w:hAnsi="Times New Roman"/>
          <w:b/>
          <w:i w:val="0"/>
          <w:sz w:val="24"/>
        </w:rPr>
        <w:t xml:space="preserve">   Yehudit Aperstein</w:t>
      </w:r>
      <w:r>
        <w:rPr>
          <w:rFonts w:ascii="Times New Roman" w:hAnsi="Times New Roman"/>
          <w:b/>
          <w:i w:val="0"/>
          <w:color w:val="CC0000"/>
          <w:sz w:val="24"/>
          <w:vertAlign w:val="superscript"/>
        </w:rPr>
        <w:t xml:space="preserve">2</w:t>
      </w:r>
    </w:p>
    <w:p>
      <w:pPr>
        <w:pStyle w:val="BodyText"/>
        <w:jc w:val="both"/>
        <w:keepNext w:val="0"/>
        <w:keepLines w:val="0"/>
        <w:widowControl w:val="1"/>
      </w:pPr>
      <w:r>
        <w:rPr>
          <w:color w:val="CC0000"/>
          <w:vertAlign w:val="superscript"/>
        </w:rPr>
        <w:t xml:space="preserve">1</w:t>
      </w:r>
      <w:r>
        <w:t xml:space="preserve"> School of Computer Science, Faculty of Sciences, Holon Institute of Technology (HIT), Holon, Israel</w:t>
      </w:r>
      <w:r>
        <w:t xml:space="preserve"> </w:t>
      </w:r>
      <w:r>
        <w:t xml:space="preserve"> · </w:t>
      </w:r>
      <w:r>
        <w:t xml:space="preserve"> </w:t>
      </w:r>
      <w:r>
        <w:rPr>
          <w:color w:val="CC0000"/>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controlled communication properties, generation strategy, downstream task,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in one case study, adding deliberately degraded synthetic variants improved performance on held-out noisy synthetic data.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p>
      <w:pPr>
        <w:pStyle w:val="Keywords"/>
        <w:jc w:val="both"/>
        <w:keepNext w:val="0"/>
        <w:keepLines w:val="0"/>
        <w:widowControl w:val="1"/>
      </w:pPr>
      <w:r>
        <w:rPr>
          <w:b/>
          <w:bCs/>
        </w:rPr>
        <w:t xml:space="preserve">Keywords:</w:t>
      </w:r>
      <w:r>
        <w:t xml:space="preserve"> </w:t>
      </w:r>
      <w:r>
        <w:t xml:space="preserve">Synthetic data; Natural language processing; Large language models; Clinical communication; Electronic health records; Data augmentation</w:t>
      </w:r>
    </w:p>
    <w:bookmarkStart w:id="12"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color w:val="CC0000"/>
          <w:vertAlign w:val="superscript"/>
        </w:rPr>
        <w:t xml:space="preserve">[1]</w:t>
      </w:r>
      <w:r>
        <w:t xml:space="preserve">, and a large share of the electronic health record is free text whose</w:t>
      </w:r>
      <w:r>
        <w:t xml:space="preserve"> </w:t>
      </w:r>
      <w:r>
        <w:t xml:space="preserve">notes materially improve prediction and phenotyping</w:t>
      </w:r>
      <w:r>
        <w:rPr>
          <w:color w:val="CC0000"/>
          <w:vertAlign w:val="superscript"/>
        </w:rPr>
        <w:t xml:space="preserve">[2]</w:t>
      </w:r>
      <w:r>
        <w:t xml:space="preserve">. This communicative layer is</w:t>
      </w:r>
      <w:r>
        <w:t xml:space="preserve"> </w:t>
      </w:r>
      <w:r>
        <w:t xml:space="preserve">also fragile: communication failures are among the leading contributors to sentinel events</w:t>
      </w:r>
      <w:r>
        <w:rPr>
          <w:color w:val="CC0000"/>
          <w:vertAlign w:val="superscript"/>
        </w:rPr>
        <w:t xml:space="preserve">[3]</w:t>
      </w:r>
      <w:r>
        <w:t xml:space="preserve"> </w:t>
      </w:r>
      <w:r>
        <w:t xml:space="preserve">and were implicated in thirty percent of malpractice cases, 1,744 deaths, and 1.7 billion dollars in cost</w:t>
      </w:r>
      <w:r>
        <w:t xml:space="preserve"> </w:t>
      </w:r>
      <w:r>
        <w:t xml:space="preserve">over five years</w:t>
      </w:r>
      <w:r>
        <w:rPr>
          <w:color w:val="CC0000"/>
          <w:vertAlign w:val="superscript"/>
        </w:rPr>
        <w:t xml:space="preserve">[4]</w:t>
      </w:r>
      <w:r>
        <w:t xml:space="preserve">. Information is routinely lost at paramedic-to-emergency-department</w:t>
      </w:r>
      <w:r>
        <w:t xml:space="preserve"> </w:t>
      </w:r>
      <w:r>
        <w:t xml:space="preserve">handover</w:t>
      </w:r>
      <w:r>
        <w:rPr>
          <w:color w:val="CC0000"/>
          <w:vertAlign w:val="superscript"/>
        </w:rPr>
        <w:t xml:space="preserve">[5]</w:t>
      </w:r>
      <w:r>
        <w:t xml:space="preserve"> </w:t>
      </w:r>
      <w:r>
        <w:t xml:space="preserve">and even in the language of an emergency call, where delayed recognition</w:t>
      </w:r>
      <w:r>
        <w:t xml:space="preserve"> </w:t>
      </w:r>
      <w:r>
        <w:t xml:space="preserve">of cardiac arrest lowers survival</w:t>
      </w:r>
      <w:r>
        <w:rPr>
          <w:color w:val="CC0000"/>
          <w:vertAlign w:val="superscript"/>
        </w:rPr>
        <w:t xml:space="preserve">[6]</w:t>
      </w:r>
      <w:r>
        <w:t xml:space="preserve">. As patient-portal messaging surges and adds to</w:t>
      </w:r>
      <w:r>
        <w:t xml:space="preserve"> </w:t>
      </w:r>
      <w:r>
        <w:t xml:space="preserve">documentation burden</w:t>
      </w:r>
      <w:r>
        <w:rPr>
          <w:color w:val="CC0000"/>
          <w:vertAlign w:val="superscript"/>
        </w:rPr>
        <w:t xml:space="preserve">[7]</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pStyle w:val="BodyText"/>
        <w:jc w:val="center"/>
        <w:keepNext/>
        <w:keepLines/>
        <w:widowControl w:val="1"/>
      </w:pPr>
      <w:r>
        <w:drawing>
          <wp:inline>
            <wp:extent cx="5943600" cy="3059205"/>
            <wp:effectExtent b="0" l="0" r="0" t="0"/>
            <wp:docPr descr="Four-stage pipeline: clinical sources, LLM generation with controlled properties, synthetic clinical communication across channels, and downstream NLP evaluated by regime" title="" id="10" name="Picture"/>
            <a:graphic>
              <a:graphicData uri="http://schemas.openxmlformats.org/drawingml/2006/picture">
                <pic:pic>
                  <pic:nvPicPr>
                    <pic:cNvPr descr="figures/fig0_landscape.png" id="11" name="Picture"/>
                    <pic:cNvPicPr>
                      <a:picLocks noChangeArrowheads="1" noChangeAspect="1"/>
                    </pic:cNvPicPr>
                  </pic:nvPicPr>
                  <pic:blipFill>
                    <a:blip r:embed="rId9"/>
                    <a:stretch>
                      <a:fillRect/>
                    </a:stretch>
                  </pic:blipFill>
                  <pic:spPr bwMode="auto">
                    <a:xfrm>
                      <a:off x="0" y="0"/>
                      <a:ext cx="5943600" cy="30592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review. A clinical source of any format is realized by an LLM, under controlled communication properties, into synthetic communication across channels, on which a downstream model is trained, augmented, or evaluated, and assessed in the S→S, R+S→R, or S→R regime (Section 2.3).</w:t>
      </w: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review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and distill from them reusable</w:t>
      </w:r>
      <w:r>
        <w:t xml:space="preserve"> </w:t>
      </w:r>
      <w:r>
        <w:t xml:space="preserve">design patterns and open problems in an emergent field.</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color w:val="CC0000"/>
          <w:vertAlign w:val="superscript"/>
        </w:rPr>
        <w:t xml:space="preserve">[8,9]</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color w:val="CC0000"/>
          <w:vertAlign w:val="superscript"/>
        </w:rPr>
        <w:t xml:space="preserve">[10,11,12,13,14]</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color w:val="CC0000"/>
          <w:vertAlign w:val="superscript"/>
        </w:rPr>
        <w:t xml:space="preserve">[15,16]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color w:val="CC0000"/>
          <w:vertAlign w:val="superscript"/>
        </w:rPr>
        <w:t xml:space="preserve">[17,18,19,20]</w:t>
      </w:r>
      <w:r>
        <w:t xml:space="preserve">, doctor-to-patient instructions,</w:t>
      </w:r>
      <w:r>
        <w:t xml:space="preserve"> </w:t>
      </w:r>
      <w:r>
        <w:t xml:space="preserve">telemedicine, EMS and SBAR handoff, emergency dispatch</w:t>
      </w:r>
      <w:r>
        <w:rPr>
          <w:color w:val="CC0000"/>
          <w:vertAlign w:val="superscript"/>
        </w:rPr>
        <w:t xml:space="preserve">[21]</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color w:val="CC0000"/>
          <w:vertAlign w:val="superscript"/>
        </w:rPr>
        <w:t xml:space="preserve">[22]</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color w:val="CC0000"/>
          <w:vertAlign w:val="superscript"/>
        </w:rPr>
        <w:t xml:space="preserve">[23]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color w:val="CC0000"/>
          <w:vertAlign w:val="superscript"/>
        </w:rPr>
        <w:t xml:space="preserve">[11]</w:t>
      </w:r>
      <w:r>
        <w:t xml:space="preserve">. Table 1 sets this review against the closest prior reviews.</w:t>
      </w:r>
    </w:p>
    <w:p>
      <w:pPr>
        <w:pStyle w:val="TableCaption"/>
        <w:spacing w:before="280" w:after="60" w:line="240" w:lineRule="auto"/>
        <w:jc w:val="center"/>
        <w:keepNext/>
        <w:keepLines/>
        <w:widowControl w:val="1"/>
      </w:pPr>
      <w:r>
        <w:rPr>
          <w:b/>
          <w:i/>
        </w:rPr>
        <w:t>Table 1.</w:t>
      </w:r>
      <w:r>
        <w:rPr>
          <w:b w:val="0"/>
          <w:i/>
        </w:rPr>
        <w:t xml:space="preserve"> </w:t>
      </w:r>
      <w:r>
        <w:rPr>
          <w:b w:val="0"/>
          <w:i/>
        </w:rPr>
        <w:t>Coverage of the closest prior reviews. Among the reviews we identified, none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Among the reviews we identified, none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w:t>
            </w:r>
            <w:r>
              <w:rPr>
                <w:rFonts w:ascii="Times New Roman" w:hAnsi="Times New Roman"/>
                <w:sz w:val="19"/>
              </w:rPr>
              <w:t xml:space="preserve"> </w:t>
            </w:r>
            <w:r>
              <w:rPr>
                <w:rFonts w:ascii="Times New Roman" w:hAnsi="Times New Roman"/>
                <w:color w:val="CC0000"/>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w:t>
            </w:r>
            <w:r>
              <w:rPr>
                <w:rFonts w:ascii="Times New Roman" w:hAnsi="Times New Roman"/>
                <w:sz w:val="19"/>
              </w:rPr>
              <w:t xml:space="preserve"> </w:t>
            </w:r>
            <w:r>
              <w:rPr>
                <w:rFonts w:ascii="Times New Roman" w:hAnsi="Times New Roman"/>
                <w:color w:val="CC0000"/>
                <w:sz w:val="19"/>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w:t>
            </w:r>
            <w:r>
              <w:rPr>
                <w:rFonts w:ascii="Times New Roman" w:hAnsi="Times New Roman"/>
                <w:sz w:val="19"/>
              </w:rPr>
              <w:t xml:space="preserve"> </w:t>
            </w:r>
            <w:r>
              <w:rPr>
                <w:rFonts w:ascii="Times New Roman" w:hAnsi="Times New Roman"/>
                <w:color w:val="CC0000"/>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w:t>
            </w:r>
            <w:r>
              <w:rPr>
                <w:rFonts w:ascii="Times New Roman" w:hAnsi="Times New Roman"/>
                <w:sz w:val="19"/>
              </w:rPr>
              <w:t xml:space="preserve"> </w:t>
            </w:r>
            <w:r>
              <w:rPr>
                <w:rFonts w:ascii="Times New Roman" w:hAnsi="Times New Roman"/>
                <w:color w:val="CC0000"/>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w:t>
            </w:r>
            <w:r>
              <w:rPr>
                <w:rFonts w:ascii="Times New Roman" w:hAnsi="Times New Roman"/>
                <w:sz w:val="19"/>
              </w:rPr>
              <w:t xml:space="preserve"> </w:t>
            </w:r>
            <w:r>
              <w:rPr>
                <w:rFonts w:ascii="Times New Roman" w:hAnsi="Times New Roman"/>
                <w:color w:val="CC0000"/>
                <w:sz w:val="19"/>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w:t>
            </w:r>
            <w:r>
              <w:rPr>
                <w:rFonts w:ascii="Times New Roman" w:hAnsi="Times New Roman"/>
                <w:sz w:val="19"/>
              </w:rPr>
              <w:t xml:space="preserve"> </w:t>
            </w:r>
            <w:r>
              <w:rPr>
                <w:rFonts w:ascii="Times New Roman" w:hAnsi="Times New Roman"/>
                <w:color w:val="CC0000"/>
                <w:sz w:val="19"/>
              </w:rPr>
              <w:t xml:space="preserve">[11]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review</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bookmarkEnd w:id="12"/>
    <w:bookmarkStart w:id="24"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Searches were last updated in June 2026; representative query families combined a clinical-communication term (clinical dialogue, patient-portal message, triage note, handoff, SBAR, EMS report) with a synthesis term (LLM-generated, synthetic, GPT-generated) and a task term (classification, NLP, benchmark).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color w:val="CC0000"/>
          <w:vertAlign w:val="superscript"/>
        </w:rPr>
        <w:t xml:space="preserve">[24,18,19,25]</w:t>
      </w:r>
      <w:r>
        <w:t xml:space="preserve">,</w:t>
      </w:r>
      <w:r>
        <w:t xml:space="preserve"> </w:t>
      </w:r>
      <w:r>
        <w:t xml:space="preserve">are now moving into practice as clinician-facing scribes</w:t>
      </w:r>
      <w:r>
        <w:rPr>
          <w:color w:val="CC0000"/>
          <w:vertAlign w:val="superscript"/>
        </w:rPr>
        <w:t xml:space="preserve">[26]</w:t>
      </w:r>
      <w:r>
        <w:t xml:space="preserve">. Information extraction</w:t>
      </w:r>
      <w:r>
        <w:t xml:space="preserve"> </w:t>
      </w:r>
      <w:r>
        <w:t xml:space="preserve">has been applied to paramedic narratives</w:t>
      </w:r>
      <w:r>
        <w:rPr>
          <w:color w:val="CC0000"/>
          <w:vertAlign w:val="superscript"/>
        </w:rPr>
        <w:t xml:space="preserve">[27]</w:t>
      </w:r>
      <w:r>
        <w:t xml:space="preserve"> </w:t>
      </w:r>
      <w:r>
        <w:t xml:space="preserve">and, in emergency medicine more</w:t>
      </w:r>
      <w:r>
        <w:t xml:space="preserve"> </w:t>
      </w:r>
      <w:r>
        <w:t xml:space="preserve">broadly, is the subject of dedicated reviews</w:t>
      </w:r>
      <w:r>
        <w:rPr>
          <w:color w:val="CC0000"/>
          <w:vertAlign w:val="superscript"/>
        </w:rPr>
        <w:t xml:space="preserve">[28,29]</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color w:val="CC0000"/>
          <w:vertAlign w:val="superscript"/>
        </w:rPr>
        <w:t xml:space="preserve">[30,31]</w:t>
      </w:r>
      <w:r>
        <w:t xml:space="preserve">; and patient-portal messages are increasingly triaged and routed</w:t>
      </w:r>
      <w:r>
        <w:t xml:space="preserve"> </w:t>
      </w:r>
      <w:r>
        <w:t xml:space="preserve">automatically</w:t>
      </w:r>
      <w:r>
        <w:rPr>
          <w:color w:val="CC0000"/>
          <w:vertAlign w:val="superscript"/>
        </w:rPr>
        <w:t xml:space="preserve">[32]</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review, sets out to relieve.</w:t>
      </w:r>
    </w:p>
    <w:bookmarkStart w:id="16" w:name="clinical-communication-in-healthcare-ai"/>
    <w:p>
      <w:pPr>
        <w:pStyle w:val="Heading3"/>
        <w:keepNext/>
        <w:keepLines/>
        <w:widowControl w:val="1"/>
      </w:pPr>
      <w:r>
        <w:t xml:space="preserve">2.1  Clinical Communication in Healthcare AI</w:t>
      </w:r>
    </w:p>
    <w:bookmarkStart w:id="13"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 characteristic linguistic, operational, and noise patterns.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pStyle w:val="TableCaption"/>
        <w:spacing w:before="28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pStyle w:val="BodyText"/>
        <w:spacing w:before="240"/>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color w:val="CC0000"/>
          <w:vertAlign w:val="superscript"/>
        </w:rPr>
        <w:t xml:space="preserve">[24]</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color w:val="CC0000"/>
          <w:vertAlign w:val="superscript"/>
        </w:rPr>
        <w:t xml:space="preserve">[18]</w:t>
      </w:r>
      <w:r>
        <w:t xml:space="preserve">,</w:t>
      </w:r>
      <w:r>
        <w:t xml:space="preserve"> </w:t>
      </w:r>
      <w:r>
        <w:t xml:space="preserve">MTS-Dialog</w:t>
      </w:r>
      <w:r>
        <w:rPr>
          <w:color w:val="CC0000"/>
          <w:vertAlign w:val="superscript"/>
        </w:rPr>
        <w:t xml:space="preserve">[19]</w:t>
      </w:r>
      <w:r>
        <w:t xml:space="preserve">, and the mock consultations of PriMock57</w:t>
      </w:r>
      <w:r>
        <w:rPr>
          <w:color w:val="CC0000"/>
          <w:vertAlign w:val="superscript"/>
        </w:rPr>
        <w:t xml:space="preserve">[20]</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color w:val="CC0000"/>
          <w:vertAlign w:val="superscript"/>
        </w:rPr>
        <w:t xml:space="preserve">[17]</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3"/>
    <w:bookmarkStart w:id="14"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pStyle w:val="TableCaption"/>
        <w:spacing w:before="28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bookmarkEnd w:id="14"/>
    <w:bookmarkStart w:id="15"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pStyle w:val="TableCaption"/>
        <w:spacing w:before="28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bookmarkEnd w:id="15"/>
    <w:bookmarkEnd w:id="16"/>
    <w:bookmarkStart w:id="21" w:name="X2fcc01e80d3f74904b8a94b6a858f8ab2487ea4"/>
    <w:p>
      <w:pPr>
        <w:pStyle w:val="Heading3"/>
        <w:keepNext/>
        <w:keepLines/>
        <w:widowControl w:val="1"/>
      </w:pPr>
      <w:r>
        <w:t xml:space="preserve">2.2  Generating Synthetic Clinical Communication</w:t>
      </w:r>
    </w:p>
    <w:bookmarkStart w:id="17"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 much lower consent and de-identification burdens, subject to source provenance, memorization risk, and data governance.</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synthetically oversampled to reduce class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7"/>
    <w:bookmarkStart w:id="18"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color w:val="CC0000"/>
          <w:vertAlign w:val="superscript"/>
        </w:rPr>
        <w:t xml:space="preserve">[33]</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encourages consistently structured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color w:val="CC0000"/>
          <w:vertAlign w:val="superscript"/>
        </w:rPr>
        <w:t xml:space="preserve">[17,34,35,36,37]</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color w:val="CC0000"/>
          <w:vertAlign w:val="superscript"/>
        </w:rPr>
        <w:t xml:space="preserve">[38]</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color w:val="CC0000"/>
          <w:vertAlign w:val="superscript"/>
        </w:rPr>
        <w:t xml:space="preserve">[39,40]</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simulation to realize the interaction, and a</w:t>
      </w:r>
      <w:r>
        <w:t xml:space="preserve"> </w:t>
      </w:r>
      <w:r>
        <w:t xml:space="preserve">judge to filter the result.</w:t>
      </w:r>
    </w:p>
    <w:bookmarkEnd w:id="18"/>
    <w:bookmarkStart w:id="19"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color w:val="CC0000"/>
          <w:vertAlign w:val="superscript"/>
        </w:rPr>
        <w:t xml:space="preserve">[41]</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color w:val="CC0000"/>
          <w:vertAlign w:val="superscript"/>
        </w:rPr>
        <w:t xml:space="preserve">[42]</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19"/>
    <w:bookmarkStart w:id="20"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0"/>
    <w:bookmarkEnd w:id="21"/>
    <w:bookmarkStart w:id="22"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pStyle w:val="TableCaption"/>
        <w:spacing w:before="28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pStyle w:val="BodyText"/>
        <w:spacing w:before="240"/>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color w:val="CC0000"/>
          <w:vertAlign w:val="superscript"/>
        </w:rPr>
        <w:t xml:space="preserve">[43]</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color w:val="CC0000"/>
          <w:vertAlign w:val="superscript"/>
        </w:rPr>
        <w:t xml:space="preserve">[44]</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review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color w:val="CC0000"/>
          <w:vertAlign w:val="superscript"/>
        </w:rPr>
        <w:t xml:space="preserve">[22]</w:t>
      </w:r>
      <w:r>
        <w:t xml:space="preserve">, which motivates</w:t>
      </w:r>
      <w:r>
        <w:t xml:space="preserve"> </w:t>
      </w:r>
      <w:r>
        <w:t xml:space="preserve">dedicated privacy-and-utility metrics for medical synthetic data</w:t>
      </w:r>
      <w:r>
        <w:rPr>
          <w:color w:val="CC0000"/>
          <w:vertAlign w:val="superscript"/>
        </w:rPr>
        <w:t xml:space="preserve">[45]</w:t>
      </w:r>
      <w:r>
        <w:t xml:space="preserve">.</w:t>
      </w:r>
    </w:p>
    <w:bookmarkEnd w:id="22"/>
    <w:bookmarkStart w:id="23"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color w:val="CC0000"/>
          <w:vertAlign w:val="superscript"/>
        </w:rPr>
        <w:t xml:space="preserve">[46]</w:t>
      </w:r>
      <w:r>
        <w:t xml:space="preserve">, a setting also studied for noisy user-generated and</w:t>
      </w:r>
      <w:r>
        <w:t xml:space="preserve"> </w:t>
      </w:r>
      <w:r>
        <w:t xml:space="preserve">conversational text</w:t>
      </w:r>
      <w:r>
        <w:rPr>
          <w:color w:val="CC0000"/>
          <w:vertAlign w:val="superscript"/>
        </w:rPr>
        <w:t xml:space="preserve">[47,48]</w:t>
      </w:r>
      <w:r>
        <w:t xml:space="preserve">; comparing text content through a question-answering</w:t>
      </w:r>
      <w:r>
        <w:t xml:space="preserve"> </w:t>
      </w:r>
      <w:r>
        <w:t xml:space="preserve">lens</w:t>
      </w:r>
      <w:r>
        <w:rPr>
          <w:color w:val="CC0000"/>
          <w:vertAlign w:val="superscript"/>
        </w:rPr>
        <w:t xml:space="preserve">[49]</w:t>
      </w:r>
      <w:r>
        <w:t xml:space="preserve">, as in QA- and NLI-based consistency checking</w:t>
      </w:r>
      <w:r>
        <w:rPr>
          <w:color w:val="CC0000"/>
          <w:vertAlign w:val="superscript"/>
        </w:rPr>
        <w:t xml:space="preserve">[50,51,52]</w:t>
      </w:r>
      <w:r>
        <w:t xml:space="preserve">;</w:t>
      </w:r>
      <w:r>
        <w:t xml:space="preserve"> </w:t>
      </w:r>
      <w:r>
        <w:t xml:space="preserve">extracting critical information from noisy transcribed communications</w:t>
      </w:r>
      <w:r>
        <w:rPr>
          <w:color w:val="CC0000"/>
          <w:vertAlign w:val="superscript"/>
        </w:rPr>
        <w:t xml:space="preserve">[53]</w:t>
      </w:r>
      <w:r>
        <w:t xml:space="preserve">, paralleling</w:t>
      </w:r>
      <w:r>
        <w:t xml:space="preserve"> </w:t>
      </w:r>
      <w:r>
        <w:t xml:space="preserve">slot-filling from air-traffic and other radio speech</w:t>
      </w:r>
      <w:r>
        <w:rPr>
          <w:color w:val="CC0000"/>
          <w:vertAlign w:val="superscript"/>
        </w:rPr>
        <w:t xml:space="preserve">[54,55]</w:t>
      </w:r>
      <w:r>
        <w:t xml:space="preserve">; and measuring the</w:t>
      </w:r>
      <w:r>
        <w:t xml:space="preserve"> </w:t>
      </w:r>
      <w:r>
        <w:t xml:space="preserve">efficiency of diagnostic questioning</w:t>
      </w:r>
      <w:r>
        <w:rPr>
          <w:color w:val="CC0000"/>
          <w:vertAlign w:val="superscript"/>
        </w:rPr>
        <w:t xml:space="preserve">[56]</w:t>
      </w:r>
      <w:r>
        <w:t xml:space="preserve">, a problem with a deep line in symptom-</w:t>
      </w:r>
      <w:r>
        <w:t xml:space="preserve"> </w:t>
      </w:r>
      <w:r>
        <w:t xml:space="preserve">checking and information-seeking clinical dialogue</w:t>
      </w:r>
      <w:r>
        <w:rPr>
          <w:color w:val="CC0000"/>
          <w:vertAlign w:val="superscript"/>
        </w:rPr>
        <w:t xml:space="preserve">[57,58,59,60]</w:t>
      </w:r>
      <w:r>
        <w:t xml:space="preserve">. Even aspect-based</w:t>
      </w:r>
      <w:r>
        <w:t xml:space="preserve"> </w:t>
      </w:r>
      <w:r>
        <w:t xml:space="preserve">sentiment, developed as a controlled synthetic benchmark in the education domain</w:t>
      </w:r>
      <w:r>
        <w:rPr>
          <w:color w:val="CC0000"/>
          <w:vertAlign w:val="superscript"/>
        </w:rPr>
        <w:t xml:space="preserve">[61]</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pStyle w:val="TableCaption"/>
        <w:spacing w:before="28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[16]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[56]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[60]</w:t>
            </w:r>
            <w:r>
              <w:rPr>
                <w:rFonts w:ascii="Times New Roman" w:hAnsi="Times New Roman"/>
                <w:sz w:val="19"/>
              </w:rPr>
              <w:t xml:space="preserve"> </w:t>
            </w:r>
            <w:r>
              <w:rPr>
                <w:rFonts w:ascii="Times New Roman" w:hAnsi="Times New Roman"/>
                <w:sz w:val="19"/>
              </w:rPr>
              <w:t xml:space="preserve">·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[49]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[73]</w:t>
            </w:r>
            <w:r>
              <w:rPr>
                <w:rFonts w:ascii="Times New Roman" w:hAnsi="Times New Roman"/>
                <w:sz w:val="19"/>
              </w:rPr>
              <w:t xml:space="preserve"> </w:t>
            </w:r>
            <w:r>
              <w:rPr>
                <w:rFonts w:ascii="Times New Roman" w:hAnsi="Times New Roman"/>
                <w:sz w:val="19"/>
              </w:rPr>
              <w:t xml:space="preserve">·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[74]</w:t>
            </w:r>
            <w:r>
              <w:rPr>
                <w:rFonts w:ascii="Times New Roman" w:hAnsi="Times New Roman"/>
                <w:sz w:val="19"/>
              </w:rPr>
              <w:t xml:space="preserve"> </w:t>
            </w:r>
            <w:r>
              <w:rPr>
                <w:rFonts w:ascii="Times New Roman" w:hAnsi="Times New Roman"/>
                <w:sz w:val="19"/>
              </w:rPr>
              <w:t xml:space="preserve">·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[91]</w:t>
            </w:r>
            <w:r>
              <w:rPr>
                <w:rFonts w:ascii="Times New Roman" w:hAnsi="Times New Roman"/>
                <w:sz w:val="19"/>
              </w:rPr>
              <w:t xml:space="preserve"> </w:t>
            </w:r>
            <w:r>
              <w:rPr>
                <w:rFonts w:ascii="Times New Roman" w:hAnsi="Times New Roman"/>
                <w:sz w:val="19"/>
              </w:rPr>
              <w:t xml:space="preserve">·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[33]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[96]</w:t>
            </w:r>
            <w:r>
              <w:rPr>
                <w:rFonts w:ascii="Times New Roman" w:hAnsi="Times New Roman"/>
                <w:sz w:val="19"/>
              </w:rPr>
              <w:t xml:space="preserve"> </w:t>
            </w:r>
            <w:r>
              <w:rPr>
                <w:rFonts w:ascii="Times New Roman" w:hAnsi="Times New Roman"/>
                <w:sz w:val="19"/>
              </w:rPr>
              <w:t xml:space="preserve">· §3.2.4</w:t>
            </w:r>
          </w:p>
        </w:tc>
      </w:tr>
    </w:tbl>
    <w:p>
      <w:pPr>
        <w:pStyle w:val="BodyText"/>
        <w:spacing w:before="240"/>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seven of the</w:t>
      </w:r>
      <w:r>
        <w:t xml:space="preserve"> </w:t>
      </w:r>
      <w:r>
        <w:t xml:space="preserve">ten studies fall within the patient-messaging, pre-hospital, and handoff groups,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1"/>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1"/>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1"/>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1"/>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1"/>
        </w:numPr>
        <w:ind w:left="360" w:hanging="259"/>
        <w:jc w:val="both"/>
        <w:keepNext w:val="0"/>
        <w:keepLines w:val="0"/>
        <w:widowControl w:val="1"/>
      </w:pPr>
      <w:r>
        <w:t xml:space="preserve">Validate by transfer to whatever authentic text exists (S→R), and disclose the synthetic provenance of any corpus that is shared.</w:t>
      </w:r>
    </w:p>
    <w:bookmarkEnd w:id="23"/>
    <w:bookmarkEnd w:id="24"/>
    <w:bookmarkStart w:id="54"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demonstrate feasibility within the synthetic evaluation setting,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pStyle w:val="TableCaption"/>
        <w:spacing w:before="28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bookmarkStart w:id="28"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color w:val="CC0000"/>
          <w:vertAlign w:val="superscript"/>
        </w:rPr>
        <w:t xml:space="preserve">[34,85,36]</w:t>
      </w:r>
      <w:r>
        <w:t xml:space="preserve"> </w:t>
      </w:r>
      <w:r>
        <w:t xml:space="preserve">and generates synthetic dialogue from notes for</w:t>
      </w:r>
      <w:r>
        <w:t xml:space="preserve"> </w:t>
      </w:r>
      <w:r>
        <w:t xml:space="preserve">ambient scribing</w:t>
      </w:r>
      <w:r>
        <w:rPr>
          <w:color w:val="CC0000"/>
          <w:vertAlign w:val="superscript"/>
        </w:rPr>
        <w:t xml:space="preserve">[64,17]</w:t>
      </w:r>
      <w:r>
        <w:t xml:space="preserve">. The three studies below concentrate on the patient's side</w:t>
      </w:r>
      <w:r>
        <w:t xml:space="preserve"> </w:t>
      </w:r>
      <w:r>
        <w:t xml:space="preserve">of that exchange: how a model can learn from, and reason over, the way patients actually speak.</w:t>
      </w:r>
    </w:p>
    <w:bookmarkStart w:id="25"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color w:val="CC0000"/>
          <w:vertAlign w:val="superscript"/>
        </w:rPr>
        <w:t xml:space="preserve">[97]</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color w:val="CC0000"/>
          <w:vertAlign w:val="superscript"/>
        </w:rPr>
        <w:t xml:space="preserve">[68]</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pStyle w:val="TableCaption"/>
        <w:spacing w:before="28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bookmarkEnd w:id="25"/>
    <w:bookmarkStart w:id="26"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color w:val="CC0000"/>
          <w:vertAlign w:val="superscript"/>
        </w:rPr>
        <w:t xml:space="preserve">[59]</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color w:val="CC0000"/>
          <w:vertAlign w:val="superscript"/>
        </w:rPr>
        <w:t xml:space="preserve">[56]</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pStyle w:val="TableCaption"/>
        <w:spacing w:before="28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bookmarkEnd w:id="26"/>
    <w:bookmarkStart w:id="27"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color w:val="CC0000"/>
          <w:vertAlign w:val="superscript"/>
        </w:rPr>
        <w:t xml:space="preserve">[98]</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pStyle w:val="TableCaption"/>
        <w:spacing w:before="28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bookmarkEnd w:id="27"/>
    <w:bookmarkEnd w:id="28"/>
    <w:bookmarkStart w:id="43"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color w:val="CC0000"/>
          <w:vertAlign w:val="superscript"/>
        </w:rPr>
        <w:t xml:space="preserve">[72]</w:t>
      </w:r>
      <w:r>
        <w:t xml:space="preserve">, and as a triage and routing</w:t>
      </w:r>
      <w:r>
        <w:t xml:space="preserve"> </w:t>
      </w:r>
      <w:r>
        <w:t xml:space="preserve">problem</w:t>
      </w:r>
      <w:r>
        <w:rPr>
          <w:color w:val="CC0000"/>
          <w:vertAlign w:val="superscript"/>
        </w:rPr>
        <w:t xml:space="preserve">[73]</w:t>
      </w:r>
      <w:r>
        <w:t xml:space="preserve">. The five studies below span triage, severity scoring, distress</w:t>
      </w:r>
      <w:r>
        <w:t xml:space="preserve"> </w:t>
      </w:r>
      <w:r>
        <w:t xml:space="preserve">classification, and home-care status monitoring.</w:t>
      </w:r>
    </w:p>
    <w:bookmarkStart w:id="32"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color w:val="CC0000"/>
          <w:vertAlign w:val="superscript"/>
        </w:rPr>
        <w:t xml:space="preserve">[99]</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pStyle w:val="TableCaption"/>
        <w:spacing w:before="28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5943600" cy="3054839"/>
            <wp:effectExtent b="0" l="0" r="0" t="0"/>
            <wp:docPr descr="Portal-message triage results summary" title="" id="30" name="Picture"/>
            <a:graphic>
              <a:graphicData uri="http://schemas.openxmlformats.org/drawingml/2006/picture">
                <pic:pic>
                  <pic:nvPicPr>
                    <pic:cNvPr descr="figures/fig2_portal_triage.png" id="31" name="Picture"/>
                    <pic:cNvPicPr>
                      <a:picLocks noChangeArrowheads="1" noChangeAspect="1"/>
                    </pic:cNvPicPr>
                  </pic:nvPicPr>
                  <pic:blipFill>
                    <a:blip r:embed="rId29"/>
                    <a:stretch>
                      <a:fillRect/>
                    </a:stretch>
                  </pic:blipFill>
                  <pic:spPr bwMode="auto">
                    <a:xfrm>
                      <a:off x="0" y="0"/>
                      <a:ext cx="5943600" cy="3054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bookmarkEnd w:id="32"/>
    <w:bookmarkStart w:id="36"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pStyle w:val="TableCaption"/>
        <w:spacing w:before="28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pStyle w:val="BodyText"/>
        <w:jc w:val="center"/>
        <w:keepNext/>
        <w:keepLines/>
        <w:widowControl w:val="1"/>
      </w:pPr>
      <w:r>
        <w:drawing>
          <wp:inline>
            <wp:extent cx="5266944" cy="4139184"/>
            <wp:effectExtent b="0" l="0" r="0" t="0"/>
            <wp:docPr descr="Postpartum severity-triage confusion matrix" title="" id="34" name="Picture"/>
            <a:graphic>
              <a:graphicData uri="http://schemas.openxmlformats.org/drawingml/2006/picture">
                <pic:pic>
                  <pic:nvPicPr>
                    <pic:cNvPr descr="figures/fig3_csection_confusion.png" id="35" name="Picture"/>
                    <pic:cNvPicPr>
                      <a:picLocks noChangeArrowheads="1" noChangeAspect="1"/>
                    </pic:cNvPicPr>
                  </pic:nvPicPr>
                  <pic:blipFill>
                    <a:blip r:embed="rId33"/>
                    <a:stretch>
                      <a:fillRect/>
                    </a:stretch>
                  </pic:blipFill>
                  <pic:spPr bwMode="auto">
                    <a:xfrm>
                      <a:off x="0" y="0"/>
                      <a:ext cx="5266944" cy="41391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6"/>
    <w:bookmarkStart w:id="37"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we identified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pStyle w:val="TableCaption"/>
        <w:spacing w:before="28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bookmarkEnd w:id="37"/>
    <w:bookmarkStart w:id="38"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color w:val="CC0000"/>
          <w:vertAlign w:val="superscript"/>
        </w:rPr>
        <w:t xml:space="preserve">[70]</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pStyle w:val="TableCaption"/>
        <w:spacing w:before="28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bookmarkEnd w:id="38"/>
    <w:bookmarkStart w:id="42"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pStyle w:val="BodyText"/>
        <w:jc w:val="center"/>
        <w:keepNext/>
        <w:keepLines/>
        <w:widowControl w:val="1"/>
      </w:pPr>
      <w:r>
        <w:drawing>
          <wp:inline>
            <wp:extent cx="5943600" cy="2948139"/>
            <wp:effectExtent b="0" l="0" r="0" t="0"/>
            <wp:docPr descr="Per-class recall of top fusion models" title="" id="40" name="Picture"/>
            <a:graphic>
              <a:graphicData uri="http://schemas.openxmlformats.org/drawingml/2006/picture">
                <pic:pic>
                  <pic:nvPicPr>
                    <pic:cNvPr descr="figures/fig4_homecare_recall.png" id="41" name="Picture"/>
                    <pic:cNvPicPr>
                      <a:picLocks noChangeArrowheads="1" noChangeAspect="1"/>
                    </pic:cNvPicPr>
                  </pic:nvPicPr>
                  <pic:blipFill>
                    <a:blip r:embed="rId39"/>
                    <a:stretch>
                      <a:fillRect/>
                    </a:stretch>
                  </pic:blipFill>
                  <pic:spPr bwMode="auto">
                    <a:xfrm>
                      <a:off x="0" y="0"/>
                      <a:ext cx="5943600" cy="29481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bookmarkEnd w:id="42"/>
    <w:bookmarkEnd w:id="43"/>
    <w:bookmarkStart w:id="52"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color w:val="CC0000"/>
          <w:vertAlign w:val="superscript"/>
        </w:rPr>
        <w:t xml:space="preserve">[35]</w:t>
      </w:r>
      <w:r>
        <w:t xml:space="preserve">, dispatch</w:t>
      </w:r>
      <w:r>
        <w:t xml:space="preserve"> </w:t>
      </w:r>
      <w:r>
        <w:t xml:space="preserve">simulation</w:t>
      </w:r>
      <w:r>
        <w:rPr>
          <w:color w:val="CC0000"/>
          <w:vertAlign w:val="superscript"/>
        </w:rPr>
        <w:t xml:space="preserve">[100]</w:t>
      </w:r>
      <w:r>
        <w:t xml:space="preserve">, and LLM-generated handoff notes</w:t>
      </w:r>
      <w:r>
        <w:rPr>
          <w:color w:val="CC0000"/>
          <w:vertAlign w:val="superscript"/>
        </w:rPr>
        <w:t xml:space="preserve">[74]</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7"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improved macro-F1 in this synthetic evaluation, though the comparison does not separate noise realism from the additional training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pStyle w:val="TableCaption"/>
        <w:spacing w:before="28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5" name="Picture"/>
            <a:graphic>
              <a:graphicData uri="http://schemas.openxmlformats.org/drawingml/2006/picture">
                <pic:pic>
                  <pic:nvPicPr>
                    <pic:cNvPr descr="figures/fig5_medalert_macrof1.png" id="46" name="Picture"/>
                    <pic:cNvPicPr>
                      <a:picLocks noChangeArrowheads="1" noChangeAspect="1"/>
                    </pic:cNvPicPr>
                  </pic:nvPicPr>
                  <pic:blipFill>
                    <a:blip r:embed="rId44"/>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bookmarkEnd w:id="47"/>
    <w:bookmarkStart w:id="51"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pStyle w:val="TableCaption"/>
        <w:spacing w:before="28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5943600" cy="3616036"/>
            <wp:effectExtent b="0" l="0" r="0" t="0"/>
            <wp:docPr descr="SBAR class macro-F1 comparison" title="" id="49" name="Picture"/>
            <a:graphic>
              <a:graphicData uri="http://schemas.openxmlformats.org/drawingml/2006/picture">
                <pic:pic>
                  <pic:nvPicPr>
                    <pic:cNvPr descr="figures/fig6_sbar_macrof1.png" id="50" name="Picture"/>
                    <pic:cNvPicPr>
                      <a:picLocks noChangeArrowheads="1" noChangeAspect="1"/>
                    </pic:cNvPicPr>
                  </pic:nvPicPr>
                  <pic:blipFill>
                    <a:blip r:embed="rId48"/>
                    <a:stretch>
                      <a:fillRect/>
                    </a:stretch>
                  </pic:blipFill>
                  <pic:spPr bwMode="auto">
                    <a:xfrm>
                      <a:off x="0" y="0"/>
                      <a:ext cx="5943600" cy="36160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bookmarkEnd w:id="51"/>
    <w:bookmarkEnd w:id="52"/>
    <w:bookmarkStart w:id="53"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pStyle w:val="TableCaption"/>
        <w:spacing w:before="28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bookmarkEnd w:id="53"/>
    <w:bookmarkEnd w:id="54"/>
    <w:bookmarkStart w:id="59"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5"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color w:val="CC0000"/>
          <w:vertAlign w:val="superscript"/>
        </w:rPr>
        <w:t xml:space="preserve">[96]</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color w:val="CC0000"/>
          <w:vertAlign w:val="superscript"/>
        </w:rPr>
        <w:t xml:space="preserve">[101]</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color w:val="CC0000"/>
          <w:vertAlign w:val="superscript"/>
        </w:rPr>
        <w:t xml:space="preserve">[94,95]</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5"/>
    <w:bookmarkStart w:id="56"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color w:val="CC0000"/>
          <w:vertAlign w:val="superscript"/>
        </w:rPr>
        <w:t xml:space="preserve">[22]</w:t>
      </w:r>
      <w:r>
        <w:t xml:space="preserve">, a risk that</w:t>
      </w:r>
      <w:r>
        <w:t xml:space="preserve"> </w:t>
      </w:r>
      <w:r>
        <w:t xml:space="preserve">membership-inference audits now make measurable</w:t>
      </w:r>
      <w:r>
        <w:rPr>
          <w:color w:val="CC0000"/>
          <w:vertAlign w:val="superscript"/>
        </w:rPr>
        <w:t xml:space="preserve">[92]</w:t>
      </w:r>
      <w:r>
        <w:t xml:space="preserve"> </w:t>
      </w:r>
      <w:r>
        <w:t xml:space="preserve">and that differentially private</w:t>
      </w:r>
      <w:r>
        <w:t xml:space="preserve"> </w:t>
      </w:r>
      <w:r>
        <w:t xml:space="preserve">generators are still being adapted to specialist clinical text</w:t>
      </w:r>
      <w:r>
        <w:rPr>
          <w:color w:val="CC0000"/>
          <w:vertAlign w:val="superscript"/>
        </w:rPr>
        <w:t xml:space="preserve">[93]</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review.</w:t>
      </w:r>
    </w:p>
    <w:bookmarkEnd w:id="56"/>
    <w:bookmarkStart w:id="57"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useful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7"/>
    <w:bookmarkStart w:id="58"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review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8"/>
    <w:bookmarkEnd w:id="59"/>
    <w:bookmarkStart w:id="60"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color w:val="CC0000"/>
          <w:vertAlign w:val="superscript"/>
        </w:rPr>
        <w:t xml:space="preserve">[34]</w:t>
      </w:r>
      <w:r>
        <w:t xml:space="preserve">, safety-focused</w:t>
      </w:r>
      <w:r>
        <w:t xml:space="preserve"> </w:t>
      </w:r>
      <w:r>
        <w:t xml:space="preserve">simulation-and-evaluation frameworks</w:t>
      </w:r>
      <w:r>
        <w:rPr>
          <w:color w:val="CC0000"/>
          <w:vertAlign w:val="superscript"/>
        </w:rPr>
        <w:t xml:space="preserve">[102]</w:t>
      </w:r>
      <w:r>
        <w:t xml:space="preserve">, and multimodal clinical-agent</w:t>
      </w:r>
      <w:r>
        <w:t xml:space="preserve"> </w:t>
      </w:r>
      <w:r>
        <w:t xml:space="preserve">benchmarks</w:t>
      </w:r>
      <w:r>
        <w:rPr>
          <w:color w:val="CC0000"/>
          <w:vertAlign w:val="superscript"/>
        </w:rPr>
        <w:t xml:space="preserve">[103]</w:t>
      </w:r>
      <w:r>
        <w:t xml:space="preserve"> </w:t>
      </w:r>
      <w:r>
        <w:t xml:space="preserve">point toward environments that fold generation and evaluation into</w:t>
      </w:r>
      <w:r>
        <w:t xml:space="preserve"> </w:t>
      </w:r>
      <w:r>
        <w:t xml:space="preserve">one renewable loop, extending toward personalized synthetic patients</w:t>
      </w:r>
      <w:r>
        <w:rPr>
          <w:color w:val="CC0000"/>
          <w:vertAlign w:val="superscript"/>
        </w:rPr>
        <w:t xml:space="preserve">[75,82,83,84]</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color w:val="CC0000"/>
          <w:vertAlign w:val="superscript"/>
        </w:rPr>
        <w:t xml:space="preserve">[92]</w:t>
      </w:r>
      <w:r>
        <w:t xml:space="preserve">, fidelity</w:t>
      </w:r>
      <w:r>
        <w:t xml:space="preserve"> </w:t>
      </w:r>
      <w:r>
        <w:t xml:space="preserve">and diversity metrics are under active and critical revision</w:t>
      </w:r>
      <w:r>
        <w:rPr>
          <w:color w:val="CC0000"/>
          <w:vertAlign w:val="superscript"/>
        </w:rPr>
        <w:t xml:space="preserve">[94,95]</w:t>
      </w:r>
      <w:r>
        <w:t xml:space="preserve">, and</w:t>
      </w:r>
      <w:r>
        <w:t xml:space="preserve"> </w:t>
      </w:r>
      <w:r>
        <w:t xml:space="preserve">differentially private generators still contend with specialist clinical distributions</w:t>
      </w:r>
      <w:r>
        <w:rPr>
          <w:color w:val="CC0000"/>
          <w:vertAlign w:val="superscript"/>
        </w:rPr>
        <w:t xml:space="preserve">[93]</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color w:val="CC0000"/>
          <w:vertAlign w:val="superscript"/>
        </w:rPr>
        <w:t xml:space="preserve">[104]</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color w:val="CC0000"/>
          <w:vertAlign w:val="superscript"/>
        </w:rPr>
        <w:t xml:space="preserve">[105]</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color w:val="CC0000"/>
          <w:vertAlign w:val="superscript"/>
        </w:rPr>
        <w:t xml:space="preserve">[106]</w:t>
      </w:r>
      <w:r>
        <w:t xml:space="preserve">; shared, communication-specific fidelity benchmarks, including</w:t>
      </w:r>
      <w:r>
        <w:t xml:space="preserve"> </w:t>
      </w:r>
      <w:r>
        <w:t xml:space="preserve">rubric-scored and OSCE-style stations</w:t>
      </w:r>
      <w:r>
        <w:rPr>
          <w:color w:val="CC0000"/>
          <w:vertAlign w:val="superscript"/>
        </w:rPr>
        <w:t xml:space="preserve">[107]</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color w:val="CC0000"/>
          <w:vertAlign w:val="superscript"/>
        </w:rPr>
        <w:t xml:space="preserve">[108]</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color w:val="CC0000"/>
          <w:vertAlign w:val="superscript"/>
        </w:rPr>
        <w:t xml:space="preserve">[96]</w:t>
      </w:r>
      <w:r>
        <w:t xml:space="preserve"> </w:t>
      </w:r>
      <w:r>
        <w:t xml:space="preserve">complete an agenda in which clinician oversight remains central.</w:t>
      </w:r>
    </w:p>
    <w:bookmarkEnd w:id="60"/>
    <w:bookmarkStart w:id="61"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review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or use synthetic communication, nine for downstream-model training and one as an evaluation testbed.</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pStyle w:val="TableCaption"/>
        <w:spacing w:before="28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pStyle w:val="BodyText"/>
        <w:spacing w:before="240"/>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color w:val="CC0000"/>
          <w:vertAlign w:val="superscript"/>
        </w:rPr>
        <w:t xml:space="preserve">[109]</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pStyle w:val="TableCaption"/>
        <w:spacing w:before="28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color w:val="CC0000"/>
                <w:sz w:val="19"/>
                <w:vertAlign w:val="superscript"/>
              </w:rPr>
              <w:t xml:space="preserve">[96]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color w:val="CC0000"/>
                <w:sz w:val="19"/>
                <w:vertAlign w:val="superscript"/>
              </w:rPr>
              <w:t xml:space="preserve">[108]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pStyle w:val="BodyText"/>
        <w:spacing w:before="240"/>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may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1"/>
    <w:bookmarkStart w:id="63"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2">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redistribution follows that dataset’s license, with the per-study specifics given in Table 20.</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pStyle w:val="TableCaption"/>
        <w:spacing w:before="28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r>
        <w:pict>
          <v:rect style="width:0;height:1.5pt" o:hralign="center" o:hrstd="t" o:hr="t"/>
        </w:pict>
      </w:r>
    </w:p>
    <w:bookmarkEnd w:id="63"/>
    <w:bookmarkStart w:id="64" w:name="ack"/>
    <w:p>
      <w:pPr>
        <w:pStyle w:val="Heading2"/>
        <w:keepNext/>
        <w:keepLines/>
        <w:widowControl w:val="1"/>
      </w:pPr>
      <w:r>
        <w:t xml:space="preserve">Acknowledgments</w:t>
      </w:r>
    </w:p>
    <w:p>
      <w:pPr>
        <w:pStyle w:val="FirstParagraph"/>
        <w:jc w:val="both"/>
        <w:keepNext w:val="0"/>
        <w:keepLines w:val="0"/>
        <w:widowControl w:val="1"/>
      </w:pPr>
      <w:r>
        <w:t xml:space="preserve">The authors thank colleagues at the Holon Institute of Technology (HIT) for helpful discussions.</w:t>
      </w:r>
    </w:p>
    <w:p>
      <w:r>
        <w:pict>
          <v:rect style="width:0;height:1.5pt" o:hralign="center" o:hrstd="t" o:hr="t"/>
        </w:pict>
      </w:r>
    </w:p>
    <w:bookmarkEnd w:id="64"/>
    <w:bookmarkStart w:id="65" w:name="statements-and-declarations"/>
    <w:p>
      <w:pPr>
        <w:pStyle w:val="Heading2"/>
        <w:keepNext/>
        <w:keepLines/>
        <w:widowControl w:val="1"/>
      </w:pPr>
      <w:r>
        <w:t xml:space="preserve">Statements and Declarations</w:t>
      </w:r>
    </w:p>
    <w:p>
      <w:pPr>
        <w:pStyle w:val="FirstParagraph"/>
        <w:jc w:val="both"/>
        <w:keepNext w:val="0"/>
        <w:keepLines w:val="0"/>
        <w:widowControl w:val="1"/>
      </w:pPr>
      <w:r>
        <w:rPr>
          <w:b/>
          <w:bCs/>
        </w:rPr>
        <w:t xml:space="preserve">Funding.</w:t>
      </w:r>
      <w:r>
        <w:t xml:space="preserve"> </w:t>
      </w:r>
      <w:r>
        <w:t xml:space="preserve">The authors did not receive support from any organization for the submitted work.</w:t>
      </w:r>
    </w:p>
    <w:p>
      <w:pPr>
        <w:pStyle w:val="BodyText"/>
        <w:jc w:val="both"/>
        <w:keepNext w:val="0"/>
        <w:keepLines w:val="0"/>
        <w:widowControl w:val="1"/>
      </w:pPr>
      <w:r>
        <w:rPr>
          <w:b/>
          <w:bCs/>
        </w:rPr>
        <w:t xml:space="preserve">Competing interests.</w:t>
      </w:r>
      <w:r>
        <w:t xml:space="preserve"> </w:t>
      </w:r>
      <w:r>
        <w:t xml:space="preserve">The authors have no relevant financial or non-financial interests to disclose.</w:t>
      </w:r>
    </w:p>
    <w:p>
      <w:pPr>
        <w:pStyle w:val="BodyText"/>
        <w:jc w:val="both"/>
        <w:keepNext w:val="0"/>
        <w:keepLines w:val="0"/>
        <w:widowControl w:val="1"/>
      </w:pPr>
      <w:r>
        <w:rPr>
          <w:b/>
          <w:bCs/>
        </w:rPr>
        <w:t xml:space="preserve">Data availability.</w:t>
      </w:r>
      <w:r>
        <w:t xml:space="preserve"> </w:t>
      </w:r>
      <w:r>
        <w:t xml:space="preserve">The datasets and reproduction code are publicly available on Zenodo (doi:10.5281/zenodo.21820227) and on GitHub.</w:t>
      </w:r>
    </w:p>
    <w:p>
      <w:pPr>
        <w:pStyle w:val="BodyText"/>
        <w:jc w:val="both"/>
        <w:keepNext w:val="0"/>
        <w:keepLines w:val="0"/>
        <w:widowControl w:val="1"/>
      </w:pPr>
      <w:r>
        <w:rPr>
          <w:b/>
          <w:bCs/>
        </w:rPr>
        <w:t xml:space="preserve">Author contributions.</w:t>
      </w:r>
      <w:r>
        <w:t xml:space="preserve"> </w:t>
      </w:r>
      <w:r>
        <w:t xml:space="preserve">Alexander Apartsin and Yehudit Aperstein contributed equally to this work. Both authors conceived and designed the study, performed the analysis, and wrote, reviewed, and edited the manuscript; both approved the final version.</w:t>
      </w:r>
    </w:p>
    <w:p>
      <w:pPr>
        <w:pStyle w:val="BodyText"/>
        <w:jc w:val="both"/>
        <w:keepNext w:val="0"/>
        <w:keepLines w:val="0"/>
        <w:widowControl w:val="1"/>
      </w:pPr>
      <w:r>
        <w:rPr>
          <w:b/>
          <w:bCs/>
        </w:rPr>
        <w:t xml:space="preserve">Ethics approval.</w:t>
      </w:r>
      <w:r>
        <w:t xml:space="preserve"> </w:t>
      </w:r>
      <w:r>
        <w:t xml:space="preserve">Not applicable. The study uses LLM-generated synthetic data and publicly available datasets; it involves no human participants or identifiable patient data.</w:t>
      </w:r>
    </w:p>
    <w:bookmarkEnd w:id="65"/>
    <w:bookmarkStart w:id="76"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color w:val="CC0000"/>
          <w:sz w:val="20"/>
        </w:rPr>
        <w:t xml:space="preserve">1. </w:t>
      </w:r>
      <w:r>
        <w:rPr>
          <w:color w:val="CC0000"/>
        </w:rPr>
        <w:t xml:space="preserve">Hampton JR, Harrison MJG, Mitchell JRA, Prichard JS, Seymour C (1975) Relative contributions of history-taking, physical examination, and laboratory investigation to diagnosis and management of medical outpatients. British Medical Journal 2(5969):486–489.</w:t>
      </w:r>
    </w:p>
    <w:p>
      <w:pPr>
        <w:pStyle w:val="ReferenceEntry"/>
        <w:spacing w:after="100"/>
        <w:ind w:left="475" w:hanging="475"/>
        <w:jc w:val="left"/>
        <w:keepNext w:val="0"/>
        <w:keepLines w:val="0"/>
        <w:widowControl w:val="1"/>
      </w:pPr>
      <w:r>
        <w:rPr>
          <w:rFonts w:ascii="Times New Roman" w:hAnsi="Times New Roman"/>
          <w:color w:val="CC0000"/>
          <w:sz w:val="20"/>
        </w:rPr>
        <w:t xml:space="preserve">2. </w:t>
      </w:r>
      <w:r>
        <w:rPr>
          <w:color w:val="CC0000"/>
        </w:rPr>
        <w:t xml:space="preserve">Seinen TM, Kors JA, van Mulligen EM, et al (2025) Using Structured Codes and Free-Text Notes to Measure Information Complementarity in Electronic Health Records.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3. </w:t>
      </w:r>
      <w:r>
        <w:rPr>
          <w:color w:val="CC0000"/>
        </w:rPr>
        <w:t xml:space="preserve">The Joint Commission. Sentinel Event Data Summary (annual root-cause reports). Oakbrook Terrace, IL.</w:t>
      </w:r>
      <w:r>
        <w:rPr>
          <w:color w:val="CC0000"/>
        </w:rPr>
        <w:t xml:space="preserve"> </w:t>
      </w:r>
      <w:hyperlink r:id="rId66">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4. </w:t>
      </w:r>
      <w:r>
        <w:rPr>
          <w:color w:val="CC0000"/>
        </w:rPr>
        <w:t xml:space="preserve">CRICO Strategies (2015) Malpractice Risks in Communication Failures: 2015 Annual Benchmarking Report. Cambridge, MA.</w:t>
      </w:r>
      <w:r>
        <w:rPr>
          <w:color w:val="CC0000"/>
        </w:rPr>
        <w:t xml:space="preserve"> </w:t>
      </w:r>
      <w:hyperlink r:id="rId67">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5. </w:t>
      </w:r>
      <w:r>
        <w:rPr>
          <w:color w:val="CC0000"/>
        </w:rPr>
        <w:t xml:space="preserve">Iedema R, et al Clinical handover between paramedics and emergency department staff: the SBAR and IMIST-AMBO acronyms. International Journal of Paramedic Practice.</w:t>
      </w:r>
    </w:p>
    <w:p>
      <w:pPr>
        <w:pStyle w:val="ReferenceEntry"/>
        <w:spacing w:after="100"/>
        <w:ind w:left="475" w:hanging="475"/>
        <w:jc w:val="left"/>
        <w:keepNext w:val="0"/>
        <w:keepLines w:val="0"/>
        <w:widowControl w:val="1"/>
      </w:pPr>
      <w:r>
        <w:rPr>
          <w:rFonts w:ascii="Times New Roman" w:hAnsi="Times New Roman"/>
          <w:color w:val="CC0000"/>
          <w:sz w:val="20"/>
        </w:rPr>
        <w:t xml:space="preserve">6. </w:t>
      </w:r>
      <w:r>
        <w:rPr>
          <w:color w:val="CC0000"/>
        </w:rPr>
        <w:t xml:space="preserve">Joshi I, Kume K, Drucker C, et al (2025) Impact of language barrier during emergency calls on out-of-hospital cardiac arrest treatment and outcomes. Resuscitation.</w:t>
      </w:r>
    </w:p>
    <w:p>
      <w:pPr>
        <w:pStyle w:val="ReferenceEntry"/>
        <w:spacing w:after="100"/>
        <w:ind w:left="475" w:hanging="475"/>
        <w:jc w:val="left"/>
        <w:keepNext w:val="0"/>
        <w:keepLines w:val="0"/>
        <w:widowControl w:val="1"/>
      </w:pPr>
      <w:r>
        <w:rPr>
          <w:rFonts w:ascii="Times New Roman" w:hAnsi="Times New Roman"/>
          <w:color w:val="CC0000"/>
          <w:sz w:val="20"/>
        </w:rPr>
        <w:t xml:space="preserve">7. </w:t>
      </w:r>
      <w:r>
        <w:rPr>
          <w:color w:val="CC0000"/>
        </w:rPr>
        <w:t xml:space="preserve">Nath B, et al (2024) Patient Portal Message Volume and Time Spent on the EHR: An Observational Study of Primary Care Clinicians. Journal of General Internal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 </w:t>
      </w:r>
      <w:r>
        <w:rPr>
          <w:color w:val="CC0000"/>
        </w:rPr>
        <w:t xml:space="preserve">Zhou H, et al (2024) A Survey on Medical Large Language Models. arXiv:2406.03712.</w:t>
      </w:r>
    </w:p>
    <w:p>
      <w:pPr>
        <w:pStyle w:val="ReferenceEntry"/>
        <w:spacing w:after="100"/>
        <w:ind w:left="475" w:hanging="475"/>
        <w:jc w:val="left"/>
        <w:keepNext w:val="0"/>
        <w:keepLines w:val="0"/>
        <w:widowControl w:val="1"/>
      </w:pPr>
      <w:r>
        <w:rPr>
          <w:rFonts w:ascii="Times New Roman" w:hAnsi="Times New Roman"/>
          <w:color w:val="CC0000"/>
          <w:sz w:val="20"/>
        </w:rPr>
        <w:t xml:space="preserve">9. </w:t>
      </w:r>
      <w:r>
        <w:rPr>
          <w:color w:val="CC0000"/>
        </w:rPr>
        <w:t xml:space="preserve">Alkalbani AM, Alrawahi AS, Salah A, et al (2025) A Systematic Review of Large Language Models in Medical Specialties: Applications, Challenges and Future Directions. Information 16(6):489.</w:t>
      </w:r>
    </w:p>
    <w:p>
      <w:pPr>
        <w:pStyle w:val="ReferenceEntry"/>
        <w:spacing w:after="100"/>
        <w:ind w:left="475" w:hanging="475"/>
        <w:jc w:val="left"/>
        <w:keepNext w:val="0"/>
        <w:keepLines w:val="0"/>
        <w:widowControl w:val="1"/>
      </w:pPr>
      <w:r>
        <w:rPr>
          <w:rFonts w:ascii="Times New Roman" w:hAnsi="Times New Roman"/>
          <w:color w:val="CC0000"/>
          <w:sz w:val="20"/>
        </w:rPr>
        <w:t xml:space="preserve">10. </w:t>
      </w:r>
      <w:r>
        <w:rPr>
          <w:color w:val="CC0000"/>
        </w:rPr>
        <w:t xml:space="preserve">Alshaikhdeeb B, et al (2025) Generation of Synthetic Clinical Text: A Systematic Review. arXiv:2507.18451.</w:t>
      </w:r>
    </w:p>
    <w:p>
      <w:pPr>
        <w:pStyle w:val="ReferenceEntry"/>
        <w:spacing w:after="100"/>
        <w:ind w:left="475" w:hanging="475"/>
        <w:jc w:val="left"/>
        <w:keepNext w:val="0"/>
        <w:keepLines w:val="0"/>
        <w:widowControl w:val="1"/>
      </w:pPr>
      <w:r>
        <w:rPr>
          <w:rFonts w:ascii="Times New Roman" w:hAnsi="Times New Roman"/>
          <w:color w:val="CC0000"/>
          <w:sz w:val="20"/>
        </w:rPr>
        <w:t xml:space="preserve">11. </w:t>
      </w:r>
      <w:r>
        <w:rPr>
          <w:color w:val="CC0000"/>
        </w:rPr>
        <w:t xml:space="preserve">Rao H, Liu W, Wang H, Huang I-C, He Z, Huang X (2026) A Scoping Review of Synthetic Data Generation by Language Models in Biomedical Research and Application: Data Utility and Quality Perspectives. Journal of Healthcare Informatics Research 10(2).</w:t>
      </w:r>
      <w:r>
        <w:rPr>
          <w:color w:val="CC0000"/>
        </w:rPr>
        <w:t xml:space="preserve"> </w:t>
      </w:r>
      <w:hyperlink r:id="rId68">
        <w:r>
          <w:rPr>
            <w:rStyle w:val="Hyperlink"/>
          </w:rPr>
          <w:t xml:space="preserve">doi:10.1007/s41666-026-00229-9</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12. </w:t>
      </w:r>
      <w:r>
        <w:rPr>
          <w:color w:val="CC0000"/>
        </w:rPr>
        <w:t xml:space="preserve">Loni M, Poursalim F, Asadi M, et al (2024) A review on generative AI models for synthetic medical text, time series, and longitudinal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13. </w:t>
      </w:r>
      <w:r>
        <w:rPr>
          <w:color w:val="CC0000"/>
        </w:rPr>
        <w:t xml:space="preserve">Ibrahim M, Al Khalil Y, Amirrajab S, et al (2024) Generative AI for Synthetic Data Across Multiple Medical Modalities: A Systematic Review. arXiv:2407.00116.</w:t>
      </w:r>
    </w:p>
    <w:p>
      <w:pPr>
        <w:pStyle w:val="ReferenceEntry"/>
        <w:spacing w:after="100"/>
        <w:ind w:left="475" w:hanging="475"/>
        <w:jc w:val="left"/>
        <w:keepNext w:val="0"/>
        <w:keepLines w:val="0"/>
        <w:widowControl w:val="1"/>
      </w:pPr>
      <w:r>
        <w:rPr>
          <w:rFonts w:ascii="Times New Roman" w:hAnsi="Times New Roman"/>
          <w:color w:val="CC0000"/>
          <w:sz w:val="20"/>
        </w:rPr>
        <w:t xml:space="preserve">14. </w:t>
      </w:r>
      <w:r>
        <w:rPr>
          <w:color w:val="CC0000"/>
        </w:rPr>
        <w:t xml:space="preserve">Rujas M, Gómez Del Moral Herranz RM, Fico G, et al (2024) Synthetic data generation in healthcare: A scoping review of reviews on domains, motivations, and future applications.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15. </w:t>
      </w:r>
      <w:r>
        <w:rPr>
          <w:color w:val="CC0000"/>
        </w:rPr>
        <w:t xml:space="preserve">Liu X, Chang J, Zhang JJ (2023) Knowledge-Grounded Dialogue Generation for Medical Conversations: A Survey. International Conference on Information Visualisation (IV).</w:t>
      </w:r>
    </w:p>
    <w:p>
      <w:pPr>
        <w:pStyle w:val="ReferenceEntry"/>
        <w:spacing w:after="100"/>
        <w:ind w:left="475" w:hanging="475"/>
        <w:jc w:val="left"/>
        <w:keepNext w:val="0"/>
        <w:keepLines w:val="0"/>
        <w:widowControl w:val="1"/>
      </w:pPr>
      <w:r>
        <w:rPr>
          <w:rFonts w:ascii="Times New Roman" w:hAnsi="Times New Roman"/>
          <w:color w:val="CC0000"/>
          <w:sz w:val="20"/>
        </w:rPr>
        <w:t xml:space="preserve">16. </w:t>
      </w:r>
      <w:r>
        <w:rPr>
          <w:color w:val="CC0000"/>
        </w:rPr>
        <w:t xml:space="preserve">Lyu M, Li X, Chen Z, et al (2025) Natural Language Generation in Healthcare: A Review of Methods and Applications. arXiv:2505.04073.</w:t>
      </w:r>
    </w:p>
    <w:p>
      <w:pPr>
        <w:pStyle w:val="ReferenceEntry"/>
        <w:spacing w:after="100"/>
        <w:ind w:left="475" w:hanging="475"/>
        <w:jc w:val="left"/>
        <w:keepNext w:val="0"/>
        <w:keepLines w:val="0"/>
        <w:widowControl w:val="1"/>
      </w:pPr>
      <w:r>
        <w:rPr>
          <w:rFonts w:ascii="Times New Roman" w:hAnsi="Times New Roman"/>
          <w:color w:val="CC0000"/>
          <w:sz w:val="20"/>
        </w:rPr>
        <w:t xml:space="preserve">17. </w:t>
      </w:r>
      <w:r>
        <w:rPr>
          <w:color w:val="CC0000"/>
        </w:rPr>
        <w:t xml:space="preserve">Wang J, et al (2024) NoteChat: A Dataset of Synthetic Patient-Physician Conversations Conditioned on Clinical Notes. Findings of ACL (arXiv:2310.15959).</w:t>
      </w:r>
    </w:p>
    <w:p>
      <w:pPr>
        <w:pStyle w:val="ReferenceEntry"/>
        <w:spacing w:after="100"/>
        <w:ind w:left="475" w:hanging="475"/>
        <w:jc w:val="left"/>
        <w:keepNext w:val="0"/>
        <w:keepLines w:val="0"/>
        <w:widowControl w:val="1"/>
      </w:pPr>
      <w:r>
        <w:rPr>
          <w:rFonts w:ascii="Times New Roman" w:hAnsi="Times New Roman"/>
          <w:color w:val="CC0000"/>
          <w:sz w:val="20"/>
        </w:rPr>
        <w:t xml:space="preserve">18. </w:t>
      </w:r>
      <w:r>
        <w:rPr>
          <w:color w:val="CC0000"/>
        </w:rPr>
        <w:t xml:space="preserve">Yim W, et al (2023) ACI-BENCH: a Novel Ambient Clinical Intelligence Dataset for Benchmarking Automatic Visit Note Generation. Scientific Data (arXiv:2306.02022).</w:t>
      </w:r>
    </w:p>
    <w:p>
      <w:pPr>
        <w:pStyle w:val="ReferenceEntry"/>
        <w:spacing w:after="100"/>
        <w:ind w:left="475" w:hanging="475"/>
        <w:jc w:val="left"/>
        <w:keepNext w:val="0"/>
        <w:keepLines w:val="0"/>
        <w:widowControl w:val="1"/>
      </w:pPr>
      <w:r>
        <w:rPr>
          <w:rFonts w:ascii="Times New Roman" w:hAnsi="Times New Roman"/>
          <w:color w:val="CC0000"/>
          <w:sz w:val="20"/>
        </w:rPr>
        <w:t xml:space="preserve">19. </w:t>
      </w:r>
      <w:r>
        <w:rPr>
          <w:color w:val="CC0000"/>
        </w:rPr>
        <w:t xml:space="preserve">Ben Abacha A, et al (2023) An Empirical Study of Clinical Note Generation from Doctor-Patient Encounters (MTS-Dialog). EACL.</w:t>
      </w:r>
    </w:p>
    <w:p>
      <w:pPr>
        <w:pStyle w:val="ReferenceEntry"/>
        <w:spacing w:after="100"/>
        <w:ind w:left="475" w:hanging="475"/>
        <w:jc w:val="left"/>
        <w:keepNext w:val="0"/>
        <w:keepLines w:val="0"/>
        <w:widowControl w:val="1"/>
      </w:pPr>
      <w:r>
        <w:rPr>
          <w:rFonts w:ascii="Times New Roman" w:hAnsi="Times New Roman"/>
          <w:color w:val="CC0000"/>
          <w:sz w:val="20"/>
        </w:rPr>
        <w:t xml:space="preserve">20. </w:t>
      </w:r>
      <w:r>
        <w:rPr>
          <w:color w:val="CC0000"/>
        </w:rPr>
        <w:t xml:space="preserve">Papadopoulos Korfiatis A, Moramarco F, et al (2022) PriMock57: A Dataset of Primary Care Mock Consultations. ACL (arXiv:2204.00333).</w:t>
      </w:r>
    </w:p>
    <w:p>
      <w:pPr>
        <w:pStyle w:val="ReferenceEntry"/>
        <w:spacing w:after="100"/>
        <w:ind w:left="475" w:hanging="475"/>
        <w:jc w:val="left"/>
        <w:keepNext w:val="0"/>
        <w:keepLines w:val="0"/>
        <w:widowControl w:val="1"/>
      </w:pPr>
      <w:r>
        <w:rPr>
          <w:rFonts w:ascii="Times New Roman" w:hAnsi="Times New Roman"/>
          <w:color w:val="CC0000"/>
          <w:sz w:val="20"/>
        </w:rPr>
        <w:t xml:space="preserve">21. </w:t>
      </w:r>
      <w:r>
        <w:rPr>
          <w:color w:val="CC0000"/>
        </w:rPr>
        <w:t xml:space="preserve">Gormley K, Lockhart K, Isaac J (2022) Using natural language processing in facilitating pre-hospital telephone triage of emergency calls. British Paramedic Journal.</w:t>
      </w:r>
    </w:p>
    <w:p>
      <w:pPr>
        <w:pStyle w:val="ReferenceEntry"/>
        <w:spacing w:after="100"/>
        <w:ind w:left="475" w:hanging="475"/>
        <w:jc w:val="left"/>
        <w:keepNext w:val="0"/>
        <w:keepLines w:val="0"/>
        <w:widowControl w:val="1"/>
      </w:pPr>
      <w:r>
        <w:rPr>
          <w:rFonts w:ascii="Times New Roman" w:hAnsi="Times New Roman"/>
          <w:color w:val="CC0000"/>
          <w:sz w:val="20"/>
        </w:rPr>
        <w:t xml:space="preserve">22. </w:t>
      </w:r>
      <w:r>
        <w:rPr>
          <w:color w:val="CC0000"/>
        </w:rPr>
        <w:t xml:space="preserve">Sarkar AR, Chuang Y-S, Mohammed N, et al (2024) De-identification is not enough: a comparison between de-identified and synthetic clinical notes. Scientific Reports (arXiv:2402.00179).</w:t>
      </w:r>
    </w:p>
    <w:p>
      <w:pPr>
        <w:pStyle w:val="ReferenceEntry"/>
        <w:spacing w:after="100"/>
        <w:ind w:left="475" w:hanging="475"/>
        <w:jc w:val="left"/>
        <w:keepNext w:val="0"/>
        <w:keepLines w:val="0"/>
        <w:widowControl w:val="1"/>
      </w:pPr>
      <w:r>
        <w:rPr>
          <w:rFonts w:ascii="Times New Roman" w:hAnsi="Times New Roman"/>
          <w:color w:val="CC0000"/>
          <w:sz w:val="20"/>
        </w:rPr>
        <w:t xml:space="preserve">23. </w:t>
      </w:r>
      <w:r>
        <w:rPr>
          <w:color w:val="CC0000"/>
        </w:rPr>
        <w:t xml:space="preserve">Bedrick S, Doğruöz AS, Nisioi S (2026) A Typology of Synthetic Datasets for Dialogue Processing in Clinical Contexts. LREC (arXiv:2505.03025).</w:t>
      </w:r>
    </w:p>
    <w:p>
      <w:pPr>
        <w:pStyle w:val="ReferenceEntry"/>
        <w:spacing w:after="100"/>
        <w:ind w:left="475" w:hanging="475"/>
        <w:jc w:val="left"/>
        <w:keepNext w:val="0"/>
        <w:keepLines w:val="0"/>
        <w:widowControl w:val="1"/>
      </w:pPr>
      <w:r>
        <w:rPr>
          <w:rFonts w:ascii="Times New Roman" w:hAnsi="Times New Roman"/>
          <w:color w:val="CC0000"/>
          <w:sz w:val="20"/>
        </w:rPr>
        <w:t xml:space="preserve">24. </w:t>
      </w:r>
      <w:r>
        <w:rPr>
          <w:color w:val="CC0000"/>
        </w:rPr>
        <w:t xml:space="preserve">Zeng G, et al (2020) MedDialog: Large-scale Medical Dialogue Datasets.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25. </w:t>
      </w:r>
      <w:r>
        <w:rPr>
          <w:color w:val="CC0000"/>
        </w:rPr>
        <w:t xml:space="preserve">Ben Abacha A, et al (2023) Overview of the MEDIQA-Chat 2023 Shared Tasks on the Summarization and Generation of Doctor-Patient Conversations. ACL ClinicalNLP.</w:t>
      </w:r>
    </w:p>
    <w:p>
      <w:pPr>
        <w:pStyle w:val="ReferenceEntry"/>
        <w:spacing w:after="100"/>
        <w:ind w:left="475" w:hanging="475"/>
        <w:jc w:val="left"/>
        <w:keepNext w:val="0"/>
        <w:keepLines w:val="0"/>
        <w:widowControl w:val="1"/>
      </w:pPr>
      <w:r>
        <w:rPr>
          <w:rFonts w:ascii="Times New Roman" w:hAnsi="Times New Roman"/>
          <w:color w:val="CC0000"/>
          <w:sz w:val="20"/>
        </w:rPr>
        <w:t xml:space="preserve">26. </w:t>
      </w:r>
      <w:r>
        <w:rPr>
          <w:color w:val="CC0000"/>
        </w:rPr>
        <w:t xml:space="preserve">Lukac PJ, Turner W, Vangala S, et al (2025) Ambient AI Scribes in Clinical Practice: A Randomized Trial. NEJM AI.</w:t>
      </w:r>
    </w:p>
    <w:p>
      <w:pPr>
        <w:pStyle w:val="ReferenceEntry"/>
        <w:spacing w:after="100"/>
        <w:ind w:left="475" w:hanging="475"/>
        <w:jc w:val="left"/>
        <w:keepNext w:val="0"/>
        <w:keepLines w:val="0"/>
        <w:widowControl w:val="1"/>
      </w:pPr>
      <w:r>
        <w:rPr>
          <w:rFonts w:ascii="Times New Roman" w:hAnsi="Times New Roman"/>
          <w:color w:val="CC0000"/>
          <w:sz w:val="20"/>
        </w:rPr>
        <w:t xml:space="preserve">27. </w:t>
      </w:r>
      <w:r>
        <w:rPr>
          <w:color w:val="CC0000"/>
        </w:rPr>
        <w:t xml:space="preserve">Wang H, et al (2020) An Emergency Medical Services Clinical Audit System driven by Named Entity Recognition from Deep Learning. arXiv:2007.03596.</w:t>
      </w:r>
    </w:p>
    <w:p>
      <w:pPr>
        <w:pStyle w:val="ReferenceEntry"/>
        <w:spacing w:after="100"/>
        <w:ind w:left="475" w:hanging="475"/>
        <w:jc w:val="left"/>
        <w:keepNext w:val="0"/>
        <w:keepLines w:val="0"/>
        <w:widowControl w:val="1"/>
      </w:pPr>
      <w:r>
        <w:rPr>
          <w:rFonts w:ascii="Times New Roman" w:hAnsi="Times New Roman"/>
          <w:color w:val="CC0000"/>
          <w:sz w:val="20"/>
        </w:rPr>
        <w:t xml:space="preserve">28. </w:t>
      </w:r>
      <w:r>
        <w:rPr>
          <w:color w:val="CC0000"/>
        </w:rPr>
        <w:t xml:space="preserve">Wang L, et al (2024) Using natural language processing in emergency medicine health service research: A systematic review and meta-analysis. Academic Emergency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29. </w:t>
      </w:r>
      <w:r>
        <w:rPr>
          <w:color w:val="CC0000"/>
        </w:rPr>
        <w:t xml:space="preserve">Sterling NW, et al (2023) Applications of natural language processing at emergency department triage: A narrative review. PLOS ONE.</w:t>
      </w:r>
    </w:p>
    <w:p>
      <w:pPr>
        <w:pStyle w:val="ReferenceEntry"/>
        <w:spacing w:after="100"/>
        <w:ind w:left="475" w:hanging="475"/>
        <w:jc w:val="left"/>
        <w:keepNext w:val="0"/>
        <w:keepLines w:val="0"/>
        <w:widowControl w:val="1"/>
      </w:pPr>
      <w:r>
        <w:rPr>
          <w:rFonts w:ascii="Times New Roman" w:hAnsi="Times New Roman"/>
          <w:color w:val="CC0000"/>
          <w:sz w:val="20"/>
        </w:rPr>
        <w:t xml:space="preserve">30. </w:t>
      </w:r>
      <w:r>
        <w:rPr>
          <w:color w:val="CC0000"/>
        </w:rPr>
        <w:t xml:space="preserve">Blomberg SN, et al (2019) Machine learning as a supportive tool to recognize cardiac arrest in emergency calls. Resuscitation 138:322–329.</w:t>
      </w:r>
    </w:p>
    <w:p>
      <w:pPr>
        <w:pStyle w:val="ReferenceEntry"/>
        <w:spacing w:after="100"/>
        <w:ind w:left="475" w:hanging="475"/>
        <w:jc w:val="left"/>
        <w:keepNext w:val="0"/>
        <w:keepLines w:val="0"/>
        <w:widowControl w:val="1"/>
      </w:pPr>
      <w:r>
        <w:rPr>
          <w:rFonts w:ascii="Times New Roman" w:hAnsi="Times New Roman"/>
          <w:color w:val="CC0000"/>
          <w:sz w:val="20"/>
        </w:rPr>
        <w:t xml:space="preserve">31. </w:t>
      </w:r>
      <w:r>
        <w:rPr>
          <w:color w:val="CC0000"/>
        </w:rPr>
        <w:t xml:space="preserve">Blomberg SN, et al (2021) Effect of Machine Learning on Dispatcher Recognition of Out-of-Hospital Cardiac Arrest During Calls to Emergency Medical Services: A Randomized Clinical Trial.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32. </w:t>
      </w:r>
      <w:r>
        <w:rPr>
          <w:color w:val="CC0000"/>
        </w:rPr>
        <w:t xml:space="preserve">Cronin RM, et al (2017) A comparison of rule-based and machine learning approaches for classifying patient portal messages.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33. </w:t>
      </w:r>
      <w:r>
        <w:rPr>
          <w:color w:val="CC0000"/>
        </w:rPr>
        <w:t xml:space="preserve">Xu R, et al (2023) Knowledge-Infused Prompting: Assessing and Advancing Clinical Text Data Generation with LLMs (ClinGen). arXiv:2311.00287.</w:t>
      </w:r>
    </w:p>
    <w:p>
      <w:pPr>
        <w:pStyle w:val="ReferenceEntry"/>
        <w:spacing w:after="100"/>
        <w:ind w:left="475" w:hanging="475"/>
        <w:jc w:val="left"/>
        <w:keepNext w:val="0"/>
        <w:keepLines w:val="0"/>
        <w:widowControl w:val="1"/>
      </w:pPr>
      <w:r>
        <w:rPr>
          <w:rFonts w:ascii="Times New Roman" w:hAnsi="Times New Roman"/>
          <w:color w:val="CC0000"/>
          <w:sz w:val="20"/>
        </w:rPr>
        <w:t xml:space="preserve">34. </w:t>
      </w:r>
      <w:r>
        <w:rPr>
          <w:color w:val="CC0000"/>
        </w:rPr>
        <w:t xml:space="preserve">Du Y, et al (2025) LLMs Can Simulate Standardized Patients via Agent Coevolution (EvoPatient). ACL (arXiv:2412.11716).</w:t>
      </w:r>
    </w:p>
    <w:p>
      <w:pPr>
        <w:pStyle w:val="ReferenceEntry"/>
        <w:spacing w:after="100"/>
        <w:ind w:left="475" w:hanging="475"/>
        <w:jc w:val="left"/>
        <w:keepNext w:val="0"/>
        <w:keepLines w:val="0"/>
        <w:widowControl w:val="1"/>
      </w:pPr>
      <w:r>
        <w:rPr>
          <w:rFonts w:ascii="Times New Roman" w:hAnsi="Times New Roman"/>
          <w:color w:val="CC0000"/>
          <w:sz w:val="20"/>
        </w:rPr>
        <w:t xml:space="preserve">35. </w:t>
      </w:r>
      <w:r>
        <w:rPr>
          <w:color w:val="CC0000"/>
        </w:rPr>
        <w:t xml:space="preserve">Ge X, et al (2026) EMSDialog: Synthetic Multi-person EMS Dialogue Generation from Electronic Patient Care Reports via Multi-LLM Agents. ACL Findings (arXiv:2604.07549).</w:t>
      </w:r>
    </w:p>
    <w:p>
      <w:pPr>
        <w:pStyle w:val="ReferenceEntry"/>
        <w:spacing w:after="100"/>
        <w:ind w:left="475" w:hanging="475"/>
        <w:jc w:val="left"/>
        <w:keepNext w:val="0"/>
        <w:keepLines w:val="0"/>
        <w:widowControl w:val="1"/>
      </w:pPr>
      <w:r>
        <w:rPr>
          <w:rFonts w:ascii="Times New Roman" w:hAnsi="Times New Roman"/>
          <w:color w:val="CC0000"/>
          <w:sz w:val="20"/>
        </w:rPr>
        <w:t xml:space="preserve">36. </w:t>
      </w:r>
      <w:r>
        <w:rPr>
          <w:color w:val="CC0000"/>
        </w:rPr>
        <w:t xml:space="preserve">Fan Z, et al (2024) AI Hospital: Benchmarking LLMs in a Multi-agent Medical Interaction Simulator. arXiv:2402.09742.</w:t>
      </w:r>
    </w:p>
    <w:p>
      <w:pPr>
        <w:pStyle w:val="ReferenceEntry"/>
        <w:spacing w:after="100"/>
        <w:ind w:left="475" w:hanging="475"/>
        <w:jc w:val="left"/>
        <w:keepNext w:val="0"/>
        <w:keepLines w:val="0"/>
        <w:widowControl w:val="1"/>
      </w:pPr>
      <w:r>
        <w:rPr>
          <w:rFonts w:ascii="Times New Roman" w:hAnsi="Times New Roman"/>
          <w:color w:val="CC0000"/>
          <w:sz w:val="20"/>
        </w:rPr>
        <w:t xml:space="preserve">37. </w:t>
      </w:r>
      <w:r>
        <w:rPr>
          <w:color w:val="CC0000"/>
        </w:rPr>
        <w:t xml:space="preserve">Louie R, et al (2024) Roleplay-doh: Enabling Domain-Experts to Create LLM-simulated Patients via Eliciting and Adhering to Principles.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38. </w:t>
      </w:r>
      <w:r>
        <w:rPr>
          <w:color w:val="CC0000"/>
        </w:rPr>
        <w:t xml:space="preserve">Keerthana G, Gupta M (2025) CLI-RAG: A Retrieval-Augmented Framework for Clinically Structured and Context-Aware Text Generation with LLMs. arXiv:2507.06715.</w:t>
      </w:r>
    </w:p>
    <w:p>
      <w:pPr>
        <w:pStyle w:val="ReferenceEntry"/>
        <w:spacing w:after="100"/>
        <w:ind w:left="475" w:hanging="475"/>
        <w:jc w:val="left"/>
        <w:keepNext w:val="0"/>
        <w:keepLines w:val="0"/>
        <w:widowControl w:val="1"/>
      </w:pPr>
      <w:r>
        <w:rPr>
          <w:rFonts w:ascii="Times New Roman" w:hAnsi="Times New Roman"/>
          <w:color w:val="CC0000"/>
          <w:sz w:val="20"/>
        </w:rPr>
        <w:t xml:space="preserve">39. </w:t>
      </w:r>
      <w:r>
        <w:rPr>
          <w:color w:val="CC0000"/>
        </w:rPr>
        <w:t xml:space="preserve">Aperstein Y, Halifa L, Bar S, Apartsin A (2026) LLM-guided headline rewriting for clickability enhancement without clickbait. arXiv:2603.22459.</w:t>
      </w:r>
    </w:p>
    <w:p>
      <w:pPr>
        <w:pStyle w:val="ReferenceEntry"/>
        <w:spacing w:after="100"/>
        <w:ind w:left="475" w:hanging="475"/>
        <w:jc w:val="left"/>
        <w:keepNext w:val="0"/>
        <w:keepLines w:val="0"/>
        <w:widowControl w:val="1"/>
      </w:pPr>
      <w:r>
        <w:rPr>
          <w:rFonts w:ascii="Times New Roman" w:hAnsi="Times New Roman"/>
          <w:color w:val="CC0000"/>
          <w:sz w:val="20"/>
        </w:rPr>
        <w:t xml:space="preserve">40. </w:t>
      </w:r>
      <w:r>
        <w:rPr>
          <w:color w:val="CC0000"/>
        </w:rPr>
        <w:t xml:space="preserve">Kang A, Chen JY, Lee-Youngzie Z, et al (2024) Synthetic Data Generation with LLM for Improved Depression Prediction. arXiv:2411.17672.</w:t>
      </w:r>
    </w:p>
    <w:p>
      <w:pPr>
        <w:pStyle w:val="ReferenceEntry"/>
        <w:spacing w:after="100"/>
        <w:ind w:left="475" w:hanging="475"/>
        <w:jc w:val="left"/>
        <w:keepNext w:val="0"/>
        <w:keepLines w:val="0"/>
        <w:widowControl w:val="1"/>
      </w:pPr>
      <w:r>
        <w:rPr>
          <w:rFonts w:ascii="Times New Roman" w:hAnsi="Times New Roman"/>
          <w:color w:val="CC0000"/>
          <w:sz w:val="20"/>
        </w:rPr>
        <w:t xml:space="preserve">41. </w:t>
      </w:r>
      <w:r>
        <w:rPr>
          <w:color w:val="CC0000"/>
        </w:rPr>
        <w:t xml:space="preserve">Li R, Wang X, Yu H (2023) Two Directions for Clinical Data Generation with Large Language Models: Data-to-Label and Label-to-Data. Findings of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42. </w:t>
      </w:r>
      <w:r>
        <w:rPr>
          <w:color w:val="CC0000"/>
        </w:rPr>
        <w:t xml:space="preserve">Zhang K, Hu M, Le HAD, et al (2026) A Survey on Evaluating Quality and Trustworthiness in LLM-Generated Data. arXiv:2601.17717.</w:t>
      </w:r>
    </w:p>
    <w:p>
      <w:pPr>
        <w:pStyle w:val="ReferenceEntry"/>
        <w:spacing w:after="100"/>
        <w:ind w:left="475" w:hanging="475"/>
        <w:jc w:val="left"/>
        <w:keepNext w:val="0"/>
        <w:keepLines w:val="0"/>
        <w:widowControl w:val="1"/>
      </w:pPr>
      <w:r>
        <w:rPr>
          <w:rFonts w:ascii="Times New Roman" w:hAnsi="Times New Roman"/>
          <w:color w:val="CC0000"/>
          <w:sz w:val="20"/>
        </w:rPr>
        <w:t xml:space="preserve">43. </w:t>
      </w:r>
      <w:r>
        <w:rPr>
          <w:color w:val="CC0000"/>
        </w:rPr>
        <w:t xml:space="preserve">Woo E, Burkhart M, Alsentzer E, Beaulieu-Jones B (2025) Synthetic data distillation enables the extraction of clinical information at scale. npj Digital Medicine 8.</w:t>
      </w:r>
    </w:p>
    <w:p>
      <w:pPr>
        <w:pStyle w:val="ReferenceEntry"/>
        <w:spacing w:after="100"/>
        <w:ind w:left="475" w:hanging="475"/>
        <w:jc w:val="left"/>
        <w:keepNext w:val="0"/>
        <w:keepLines w:val="0"/>
        <w:widowControl w:val="1"/>
      </w:pPr>
      <w:r>
        <w:rPr>
          <w:rFonts w:ascii="Times New Roman" w:hAnsi="Times New Roman"/>
          <w:color w:val="CC0000"/>
          <w:sz w:val="20"/>
        </w:rPr>
        <w:t xml:space="preserve">44. </w:t>
      </w:r>
      <w:r>
        <w:rPr>
          <w:color w:val="CC0000"/>
        </w:rPr>
        <w:t xml:space="preserve">Li J, Zhou Y, Jiang X, Natarajan K, et al (2021) Are synthetic clinical notes useful for real natural language processing tasks: A case study on clinical entity recognition. Journal of the American Medical Informatics Association 28(10):2193–2201.</w:t>
      </w:r>
    </w:p>
    <w:p>
      <w:pPr>
        <w:pStyle w:val="ReferenceEntry"/>
        <w:spacing w:after="100"/>
        <w:ind w:left="475" w:hanging="475"/>
        <w:jc w:val="left"/>
        <w:keepNext w:val="0"/>
        <w:keepLines w:val="0"/>
        <w:widowControl w:val="1"/>
      </w:pPr>
      <w:r>
        <w:rPr>
          <w:rFonts w:ascii="Times New Roman" w:hAnsi="Times New Roman"/>
          <w:color w:val="CC0000"/>
          <w:sz w:val="20"/>
        </w:rPr>
        <w:t xml:space="preserve">45. </w:t>
      </w:r>
      <w:r>
        <w:rPr>
          <w:color w:val="CC0000"/>
        </w:rPr>
        <w:t xml:space="preserve">Kaabachi B, Despraz J, Meurers T, et al (2025) A scoping review of privacy and utility metrics in medical synthetic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46. </w:t>
      </w:r>
      <w:r>
        <w:rPr>
          <w:color w:val="CC0000"/>
        </w:rPr>
        <w:t xml:space="preserve">Aperstein Y, Moran E, Apartsin A (2026) IRC-Bench: Recognizing Entities from Contextual Cues in First-Person Reminiscences. Machine Learning and Knowledge Extraction.</w:t>
      </w:r>
    </w:p>
    <w:p>
      <w:pPr>
        <w:pStyle w:val="ReferenceEntry"/>
        <w:spacing w:after="100"/>
        <w:ind w:left="475" w:hanging="475"/>
        <w:jc w:val="left"/>
        <w:keepNext w:val="0"/>
        <w:keepLines w:val="0"/>
        <w:widowControl w:val="1"/>
      </w:pPr>
      <w:r>
        <w:rPr>
          <w:rFonts w:ascii="Times New Roman" w:hAnsi="Times New Roman"/>
          <w:color w:val="CC0000"/>
          <w:sz w:val="20"/>
        </w:rPr>
        <w:t xml:space="preserve">47. </w:t>
      </w:r>
      <w:r>
        <w:rPr>
          <w:color w:val="CC0000"/>
        </w:rPr>
        <w:t xml:space="preserve">Ritter A, Clark S, Mausam, Etzioni O (2011) Named Entity Recognition in Tweets: An Experimental Study.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48. </w:t>
      </w:r>
      <w:r>
        <w:rPr>
          <w:color w:val="CC0000"/>
        </w:rPr>
        <w:t xml:space="preserve">Derczynski L, Nichols E, van Erp M, Limsopatham N (2017) Results of the WNUT2017 Shared Task on Novel and Emerging Entity Recognition. W-NUT@EMNLP.</w:t>
      </w:r>
    </w:p>
    <w:p>
      <w:pPr>
        <w:pStyle w:val="ReferenceEntry"/>
        <w:spacing w:after="100"/>
        <w:ind w:left="475" w:hanging="475"/>
        <w:jc w:val="left"/>
        <w:keepNext w:val="0"/>
        <w:keepLines w:val="0"/>
        <w:widowControl w:val="1"/>
      </w:pPr>
      <w:r>
        <w:rPr>
          <w:rFonts w:ascii="Times New Roman" w:hAnsi="Times New Roman"/>
          <w:color w:val="CC0000"/>
          <w:sz w:val="20"/>
        </w:rPr>
        <w:t xml:space="preserve">49. </w:t>
      </w:r>
      <w:r>
        <w:rPr>
          <w:color w:val="CC0000"/>
        </w:rPr>
        <w:t xml:space="preserve">Aperstein Y, Gottlib A, Benita G, Apartsin A (2025) Explainable Semantic Text Relations: A Question-Answering Framework for Comparing Document Content. Information 16(12):1090.</w:t>
      </w:r>
    </w:p>
    <w:p>
      <w:pPr>
        <w:pStyle w:val="ReferenceEntry"/>
        <w:spacing w:after="100"/>
        <w:ind w:left="475" w:hanging="475"/>
        <w:jc w:val="left"/>
        <w:keepNext w:val="0"/>
        <w:keepLines w:val="0"/>
        <w:widowControl w:val="1"/>
      </w:pPr>
      <w:r>
        <w:rPr>
          <w:rFonts w:ascii="Times New Roman" w:hAnsi="Times New Roman"/>
          <w:color w:val="CC0000"/>
          <w:sz w:val="20"/>
        </w:rPr>
        <w:t xml:space="preserve">50. </w:t>
      </w:r>
      <w:r>
        <w:rPr>
          <w:color w:val="CC0000"/>
        </w:rPr>
        <w:t xml:space="preserve">Wang A, Cho K, Lewis M (2020) Asking and Answering Questions to Evaluate the Factual Consistency of Summaries (QAGS). ACL.</w:t>
      </w:r>
    </w:p>
    <w:p>
      <w:pPr>
        <w:pStyle w:val="ReferenceEntry"/>
        <w:spacing w:after="100"/>
        <w:ind w:left="475" w:hanging="475"/>
        <w:jc w:val="left"/>
        <w:keepNext w:val="0"/>
        <w:keepLines w:val="0"/>
        <w:widowControl w:val="1"/>
      </w:pPr>
      <w:r>
        <w:rPr>
          <w:rFonts w:ascii="Times New Roman" w:hAnsi="Times New Roman"/>
          <w:color w:val="CC0000"/>
          <w:sz w:val="20"/>
        </w:rPr>
        <w:t xml:space="preserve">51. </w:t>
      </w:r>
      <w:r>
        <w:rPr>
          <w:color w:val="CC0000"/>
        </w:rPr>
        <w:t xml:space="preserve">Scialom T, et al (2021) QuestEval: Summarization Asks for Fact-based Evaluation. EMNLP.</w:t>
      </w:r>
    </w:p>
    <w:p>
      <w:pPr>
        <w:pStyle w:val="ReferenceEntry"/>
        <w:spacing w:after="100"/>
        <w:ind w:left="475" w:hanging="475"/>
        <w:jc w:val="left"/>
        <w:keepNext w:val="0"/>
        <w:keepLines w:val="0"/>
        <w:widowControl w:val="1"/>
      </w:pPr>
      <w:r>
        <w:rPr>
          <w:rFonts w:ascii="Times New Roman" w:hAnsi="Times New Roman"/>
          <w:color w:val="CC0000"/>
          <w:sz w:val="20"/>
        </w:rPr>
        <w:t xml:space="preserve">52. </w:t>
      </w:r>
      <w:r>
        <w:rPr>
          <w:color w:val="CC0000"/>
        </w:rPr>
        <w:t xml:space="preserve">Yin W, Radev D, Xiong C (2021) DocNLI: A Large-scale Dataset for Document-level Natural Language Inference. Findings of ACL-IJCNLP.</w:t>
      </w:r>
    </w:p>
    <w:p>
      <w:pPr>
        <w:pStyle w:val="ReferenceEntry"/>
        <w:spacing w:after="100"/>
        <w:ind w:left="475" w:hanging="475"/>
        <w:jc w:val="left"/>
        <w:keepNext w:val="0"/>
        <w:keepLines w:val="0"/>
        <w:widowControl w:val="1"/>
      </w:pPr>
      <w:r>
        <w:rPr>
          <w:rFonts w:ascii="Times New Roman" w:hAnsi="Times New Roman"/>
          <w:color w:val="CC0000"/>
          <w:sz w:val="20"/>
        </w:rPr>
        <w:t xml:space="preserve">53. </w:t>
      </w:r>
      <w:r>
        <w:rPr>
          <w:color w:val="CC0000"/>
        </w:rPr>
        <w:t xml:space="preserve">Atia T, Aperstein Y, Apartsin A (2026) SeaAlert: Critical Information Extraction From Maritime Distress Communications with Large Language Models. IEEE Access.</w:t>
      </w:r>
    </w:p>
    <w:p>
      <w:pPr>
        <w:pStyle w:val="ReferenceEntry"/>
        <w:spacing w:after="100"/>
        <w:ind w:left="475" w:hanging="475"/>
        <w:jc w:val="left"/>
        <w:keepNext w:val="0"/>
        <w:keepLines w:val="0"/>
        <w:widowControl w:val="1"/>
      </w:pPr>
      <w:r>
        <w:rPr>
          <w:rFonts w:ascii="Times New Roman" w:hAnsi="Times New Roman"/>
          <w:color w:val="CC0000"/>
          <w:sz w:val="20"/>
        </w:rPr>
        <w:t xml:space="preserve">54. </w:t>
      </w:r>
      <w:r>
        <w:rPr>
          <w:color w:val="CC0000"/>
        </w:rPr>
        <w:t xml:space="preserve">Zuluaga-Gomez J, et al (2023) ATCO2 corpus: A Large-Scale Dataset for Research on ASR and NLU of Air Traffic Control Communications. arXiv:2211.04054.</w:t>
      </w:r>
    </w:p>
    <w:p>
      <w:pPr>
        <w:pStyle w:val="ReferenceEntry"/>
        <w:spacing w:after="100"/>
        <w:ind w:left="475" w:hanging="475"/>
        <w:jc w:val="left"/>
        <w:keepNext w:val="0"/>
        <w:keepLines w:val="0"/>
        <w:widowControl w:val="1"/>
      </w:pPr>
      <w:r>
        <w:rPr>
          <w:rFonts w:ascii="Times New Roman" w:hAnsi="Times New Roman"/>
          <w:color w:val="CC0000"/>
          <w:sz w:val="20"/>
        </w:rPr>
        <w:t xml:space="preserve">55. </w:t>
      </w:r>
      <w:r>
        <w:rPr>
          <w:color w:val="CC0000"/>
        </w:rPr>
        <w:t xml:space="preserve">Sun K, et al (2023) Speech-based Slot Filling using Large Language Models. arXiv:2311.07418.</w:t>
      </w:r>
    </w:p>
    <w:p>
      <w:pPr>
        <w:pStyle w:val="ReferenceEntry"/>
        <w:spacing w:after="100"/>
        <w:ind w:left="475" w:hanging="475"/>
        <w:jc w:val="left"/>
        <w:keepNext w:val="0"/>
        <w:keepLines w:val="0"/>
        <w:widowControl w:val="1"/>
      </w:pPr>
      <w:r>
        <w:rPr>
          <w:rFonts w:ascii="Times New Roman" w:hAnsi="Times New Roman"/>
          <w:color w:val="CC0000"/>
          <w:sz w:val="20"/>
        </w:rPr>
        <w:t xml:space="preserve">56. </w:t>
      </w:r>
      <w:r>
        <w:rPr>
          <w:color w:val="CC0000"/>
        </w:rPr>
        <w:t xml:space="preserve">Werthaim M, Kimhi M, Apartsin A, Aperstein Y (2026) A benchmark for evaluating diagnostic questioning efficiency of LLMs in patient conversations. Scientific Reports.</w:t>
      </w:r>
    </w:p>
    <w:p>
      <w:pPr>
        <w:pStyle w:val="ReferenceEntry"/>
        <w:spacing w:after="100"/>
        <w:ind w:left="475" w:hanging="475"/>
        <w:jc w:val="left"/>
        <w:keepNext w:val="0"/>
        <w:keepLines w:val="0"/>
        <w:widowControl w:val="1"/>
      </w:pPr>
      <w:r>
        <w:rPr>
          <w:rFonts w:ascii="Times New Roman" w:hAnsi="Times New Roman"/>
          <w:color w:val="CC0000"/>
          <w:sz w:val="20"/>
        </w:rPr>
        <w:t xml:space="preserve">57. </w:t>
      </w:r>
      <w:r>
        <w:rPr>
          <w:color w:val="CC0000"/>
        </w:rPr>
        <w:t xml:space="preserve">Kao H-C, Tang K-F, Chang EY (2018) Context-Aware Symptom Checking for Disease Diagnosis Using Hierarchical Reinforcement Learning. AAAI.</w:t>
      </w:r>
    </w:p>
    <w:p>
      <w:pPr>
        <w:pStyle w:val="ReferenceEntry"/>
        <w:spacing w:after="100"/>
        <w:ind w:left="475" w:hanging="475"/>
        <w:jc w:val="left"/>
        <w:keepNext w:val="0"/>
        <w:keepLines w:val="0"/>
        <w:widowControl w:val="1"/>
      </w:pPr>
      <w:r>
        <w:rPr>
          <w:rFonts w:ascii="Times New Roman" w:hAnsi="Times New Roman"/>
          <w:color w:val="CC0000"/>
          <w:sz w:val="20"/>
        </w:rPr>
        <w:t xml:space="preserve">58. </w:t>
      </w:r>
      <w:r>
        <w:rPr>
          <w:color w:val="CC0000"/>
        </w:rPr>
        <w:t xml:space="preserve">Wei Z, et al (2018) Task-oriented Dialogue System for Automatic Diagnosis. ACL.</w:t>
      </w:r>
    </w:p>
    <w:p>
      <w:pPr>
        <w:pStyle w:val="ReferenceEntry"/>
        <w:spacing w:after="100"/>
        <w:ind w:left="475" w:hanging="475"/>
        <w:jc w:val="left"/>
        <w:keepNext w:val="0"/>
        <w:keepLines w:val="0"/>
        <w:widowControl w:val="1"/>
      </w:pPr>
      <w:r>
        <w:rPr>
          <w:rFonts w:ascii="Times New Roman" w:hAnsi="Times New Roman"/>
          <w:color w:val="CC0000"/>
          <w:sz w:val="20"/>
        </w:rPr>
        <w:t xml:space="preserve">59. </w:t>
      </w:r>
      <w:r>
        <w:rPr>
          <w:color w:val="CC0000"/>
        </w:rPr>
        <w:t xml:space="preserve">Li S, et al (2024) MediQ: Question-Asking LLMs and a Benchmark for Reliable Interactive Clinical Reasoning. NeurIPS (arXiv:2406.00922).</w:t>
      </w:r>
    </w:p>
    <w:p>
      <w:pPr>
        <w:pStyle w:val="ReferenceEntry"/>
        <w:spacing w:after="100"/>
        <w:ind w:left="475" w:hanging="475"/>
        <w:jc w:val="left"/>
        <w:keepNext w:val="0"/>
        <w:keepLines w:val="0"/>
        <w:widowControl w:val="1"/>
      </w:pPr>
      <w:r>
        <w:rPr>
          <w:rFonts w:ascii="Times New Roman" w:hAnsi="Times New Roman"/>
          <w:color w:val="CC0000"/>
          <w:sz w:val="20"/>
        </w:rPr>
        <w:t xml:space="preserve">60. </w:t>
      </w:r>
      <w:r>
        <w:rPr>
          <w:color w:val="CC0000"/>
        </w:rPr>
        <w:t xml:space="preserve">Tu T, et al (2025) Towards conversational diagnostic artificial intelligence (AMIE). Nature.</w:t>
      </w:r>
    </w:p>
    <w:p>
      <w:pPr>
        <w:pStyle w:val="ReferenceEntry"/>
        <w:spacing w:after="100"/>
        <w:ind w:left="475" w:hanging="475"/>
        <w:jc w:val="left"/>
        <w:keepNext w:val="0"/>
        <w:keepLines w:val="0"/>
        <w:widowControl w:val="1"/>
      </w:pPr>
      <w:r>
        <w:rPr>
          <w:rFonts w:ascii="Times New Roman" w:hAnsi="Times New Roman"/>
          <w:color w:val="CC0000"/>
          <w:sz w:val="20"/>
        </w:rPr>
        <w:t xml:space="preserve">61. </w:t>
      </w:r>
      <w:r>
        <w:rPr>
          <w:color w:val="CC0000"/>
        </w:rPr>
        <w:t xml:space="preserve">Aperstein Y, Apartsin A (2026) A Controlled Synthetic Benchmark for Educational Aspect-Based Sentiment Analysis. arXiv:2605.25502.</w:t>
      </w:r>
    </w:p>
    <w:p>
      <w:pPr>
        <w:pStyle w:val="ReferenceEntry"/>
        <w:spacing w:after="100"/>
        <w:ind w:left="475" w:hanging="475"/>
        <w:jc w:val="left"/>
        <w:keepNext w:val="0"/>
        <w:keepLines w:val="0"/>
        <w:widowControl w:val="1"/>
      </w:pPr>
      <w:r>
        <w:rPr>
          <w:rFonts w:ascii="Times New Roman" w:hAnsi="Times New Roman"/>
          <w:color w:val="CC0000"/>
          <w:sz w:val="20"/>
        </w:rPr>
        <w:t xml:space="preserve">62. </w:t>
      </w:r>
      <w:r>
        <w:rPr>
          <w:color w:val="CC0000"/>
        </w:rPr>
        <w:t xml:space="preserve">Laufer M, Aperstein Y, Apartsin A (2026) Reliable Extraction of Clinical Follow-Up Instructions: A Hybrid Neural-Symbolic Pipeline. arXiv:2605.26560.</w:t>
      </w:r>
    </w:p>
    <w:p>
      <w:pPr>
        <w:pStyle w:val="ReferenceEntry"/>
        <w:spacing w:after="100"/>
        <w:ind w:left="475" w:hanging="475"/>
        <w:jc w:val="left"/>
        <w:keepNext w:val="0"/>
        <w:keepLines w:val="0"/>
        <w:widowControl w:val="1"/>
      </w:pPr>
      <w:r>
        <w:rPr>
          <w:rFonts w:ascii="Times New Roman" w:hAnsi="Times New Roman"/>
          <w:color w:val="CC0000"/>
          <w:sz w:val="20"/>
        </w:rPr>
        <w:t xml:space="preserve">63. </w:t>
      </w:r>
      <w:r>
        <w:rPr>
          <w:color w:val="CC0000"/>
        </w:rPr>
        <w:t xml:space="preserve">Ramachandran P, et al (2024) Synth-SBDH: A Synthetic Dataset of Social and Behavioral Determinants of Health for Clinical Text. arXiv:2406.06056.</w:t>
      </w:r>
    </w:p>
    <w:p>
      <w:pPr>
        <w:pStyle w:val="ReferenceEntry"/>
        <w:spacing w:after="100"/>
        <w:ind w:left="475" w:hanging="475"/>
        <w:jc w:val="left"/>
        <w:keepNext w:val="0"/>
        <w:keepLines w:val="0"/>
        <w:widowControl w:val="1"/>
      </w:pPr>
      <w:r>
        <w:rPr>
          <w:rFonts w:ascii="Times New Roman" w:hAnsi="Times New Roman"/>
          <w:color w:val="CC0000"/>
          <w:sz w:val="20"/>
        </w:rPr>
        <w:t xml:space="preserve">64. </w:t>
      </w:r>
      <w:r>
        <w:rPr>
          <w:color w:val="CC0000"/>
        </w:rPr>
        <w:t xml:space="preserve">Das S, et al (2024) Synthetic Patient-Physician Dialogue Generation from Clinical Notes Using LLM (SynDial). arXiv:2408.06285.</w:t>
      </w:r>
    </w:p>
    <w:p>
      <w:pPr>
        <w:pStyle w:val="ReferenceEntry"/>
        <w:spacing w:after="100"/>
        <w:ind w:left="475" w:hanging="475"/>
        <w:jc w:val="left"/>
        <w:keepNext w:val="0"/>
        <w:keepLines w:val="0"/>
        <w:widowControl w:val="1"/>
      </w:pPr>
      <w:r>
        <w:rPr>
          <w:rFonts w:ascii="Times New Roman" w:hAnsi="Times New Roman"/>
          <w:color w:val="CC0000"/>
          <w:sz w:val="20"/>
        </w:rPr>
        <w:t xml:space="preserve">65. </w:t>
      </w:r>
      <w:r>
        <w:rPr>
          <w:color w:val="CC0000"/>
        </w:rPr>
        <w:t xml:space="preserve">Chintagunta B, et al (2023) Can LLMs generate high-quality synthetic note-oriented doctor-patient conversations? arXiv:2306.16931.</w:t>
      </w:r>
    </w:p>
    <w:p>
      <w:pPr>
        <w:pStyle w:val="ReferenceEntry"/>
        <w:spacing w:after="100"/>
        <w:ind w:left="475" w:hanging="475"/>
        <w:jc w:val="left"/>
        <w:keepNext w:val="0"/>
        <w:keepLines w:val="0"/>
        <w:widowControl w:val="1"/>
      </w:pPr>
      <w:r>
        <w:rPr>
          <w:rFonts w:ascii="Times New Roman" w:hAnsi="Times New Roman"/>
          <w:color w:val="CC0000"/>
          <w:sz w:val="20"/>
        </w:rPr>
        <w:t xml:space="preserve">66. </w:t>
      </w:r>
      <w:r>
        <w:rPr>
          <w:color w:val="CC0000"/>
        </w:rPr>
        <w:t xml:space="preserve">Apartsin A, Aperstein Y (2026) CoEval: Ranking Language Models for Custom Tasks Without Labeled Data or Trustworthy Benchmarks. arXiv:2606.03650.</w:t>
      </w:r>
    </w:p>
    <w:p>
      <w:pPr>
        <w:pStyle w:val="ReferenceEntry"/>
        <w:spacing w:after="100"/>
        <w:ind w:left="475" w:hanging="475"/>
        <w:jc w:val="left"/>
        <w:keepNext w:val="0"/>
        <w:keepLines w:val="0"/>
        <w:widowControl w:val="1"/>
      </w:pPr>
      <w:r>
        <w:rPr>
          <w:rFonts w:ascii="Times New Roman" w:hAnsi="Times New Roman"/>
          <w:color w:val="CC0000"/>
          <w:sz w:val="20"/>
        </w:rPr>
        <w:t xml:space="preserve">67. </w:t>
      </w:r>
      <w:r>
        <w:rPr>
          <w:color w:val="CC0000"/>
        </w:rPr>
        <w:t xml:space="preserve">Wang K, Zhu J, Ren M, et al (2024) A Survey on Data Synthesis and Augmentation for Large Language Models. arXiv:2410.12896.</w:t>
      </w:r>
    </w:p>
    <w:p>
      <w:pPr>
        <w:pStyle w:val="ReferenceEntry"/>
        <w:spacing w:after="100"/>
        <w:ind w:left="475" w:hanging="475"/>
        <w:jc w:val="left"/>
        <w:keepNext w:val="0"/>
        <w:keepLines w:val="0"/>
        <w:widowControl w:val="1"/>
      </w:pPr>
      <w:r>
        <w:rPr>
          <w:rFonts w:ascii="Times New Roman" w:hAnsi="Times New Roman"/>
          <w:color w:val="CC0000"/>
          <w:sz w:val="20"/>
        </w:rPr>
        <w:t xml:space="preserve">68. </w:t>
      </w:r>
      <w:r>
        <w:rPr>
          <w:color w:val="CC0000"/>
        </w:rPr>
        <w:t xml:space="preserve">Mama E, Sheri L, Aperstein Y, Apartsin A (2025) From Fuzzy Speech to Medical Insight: Benchmarking LLMs on Noisy Patient Narratives. arXiv:2509.11803.</w:t>
      </w:r>
    </w:p>
    <w:p>
      <w:pPr>
        <w:pStyle w:val="ReferenceEntry"/>
        <w:spacing w:after="100"/>
        <w:ind w:left="475" w:hanging="475"/>
        <w:jc w:val="left"/>
        <w:keepNext w:val="0"/>
        <w:keepLines w:val="0"/>
        <w:widowControl w:val="1"/>
      </w:pPr>
      <w:r>
        <w:rPr>
          <w:rFonts w:ascii="Times New Roman" w:hAnsi="Times New Roman"/>
          <w:color w:val="CC0000"/>
          <w:sz w:val="20"/>
        </w:rPr>
        <w:t xml:space="preserve">69. </w:t>
      </w:r>
      <w:r>
        <w:rPr>
          <w:color w:val="CC0000"/>
        </w:rPr>
        <w:t xml:space="preserve">Bolshinsky I, Kupiec S, Sasson A, Aperstein Y, Apartsin A (2025) Do Large Language Models Need Intent? Revisiting Response Generation Strategies for Service Assistant. arXiv:2509.05006.</w:t>
      </w:r>
    </w:p>
    <w:p>
      <w:pPr>
        <w:pStyle w:val="ReferenceEntry"/>
        <w:spacing w:after="100"/>
        <w:ind w:left="475" w:hanging="475"/>
        <w:jc w:val="left"/>
        <w:keepNext w:val="0"/>
        <w:keepLines w:val="0"/>
        <w:widowControl w:val="1"/>
      </w:pPr>
      <w:r>
        <w:rPr>
          <w:rFonts w:ascii="Times New Roman" w:hAnsi="Times New Roman"/>
          <w:color w:val="CC0000"/>
          <w:sz w:val="20"/>
        </w:rPr>
        <w:t xml:space="preserve">70. </w:t>
      </w:r>
      <w:r>
        <w:rPr>
          <w:color w:val="CC0000"/>
        </w:rPr>
        <w:t xml:space="preserve">Goncharok D, Shifman A, Apartsin A, Aperstein Y (2025) When Curiosity Signals Danger: Predicting Health Crises Through Online Medication Inquiries. arXiv:2509.11802.</w:t>
      </w:r>
    </w:p>
    <w:p>
      <w:pPr>
        <w:pStyle w:val="ReferenceEntry"/>
        <w:spacing w:after="100"/>
        <w:ind w:left="475" w:hanging="475"/>
        <w:jc w:val="left"/>
        <w:keepNext w:val="0"/>
        <w:keepLines w:val="0"/>
        <w:widowControl w:val="1"/>
      </w:pPr>
      <w:r>
        <w:rPr>
          <w:rFonts w:ascii="Times New Roman" w:hAnsi="Times New Roman"/>
          <w:color w:val="CC0000"/>
          <w:sz w:val="20"/>
        </w:rPr>
        <w:t xml:space="preserve">71. </w:t>
      </w:r>
      <w:r>
        <w:rPr>
          <w:color w:val="CC0000"/>
        </w:rPr>
        <w:t xml:space="preserve">Shekhar AC, Kimbrell J, Saharan A, Stebel J, Ashley E, Abbott EE (2024) Use of a large language model for ambulance dispatch and triage. Prehospital and Disaster Medicine (PubMed 39675178).</w:t>
      </w:r>
    </w:p>
    <w:p>
      <w:pPr>
        <w:pStyle w:val="ReferenceEntry"/>
        <w:spacing w:after="100"/>
        <w:ind w:left="475" w:hanging="475"/>
        <w:jc w:val="left"/>
        <w:keepNext w:val="0"/>
        <w:keepLines w:val="0"/>
        <w:widowControl w:val="1"/>
      </w:pPr>
      <w:r>
        <w:rPr>
          <w:rFonts w:ascii="Times New Roman" w:hAnsi="Times New Roman"/>
          <w:color w:val="CC0000"/>
          <w:sz w:val="20"/>
        </w:rPr>
        <w:t xml:space="preserve">72. </w:t>
      </w:r>
      <w:r>
        <w:rPr>
          <w:color w:val="CC0000"/>
        </w:rPr>
        <w:t xml:space="preserve">Gatto J, et al (2024) In-Context Learning for Preserving Patient Privacy: Synthesizing Realistic Patient Portal Messages. ML4H (arXiv:2411.06549).</w:t>
      </w:r>
    </w:p>
    <w:p>
      <w:pPr>
        <w:pStyle w:val="ReferenceEntry"/>
        <w:spacing w:after="100"/>
        <w:ind w:left="475" w:hanging="475"/>
        <w:jc w:val="left"/>
        <w:keepNext w:val="0"/>
        <w:keepLines w:val="0"/>
        <w:widowControl w:val="1"/>
      </w:pPr>
      <w:r>
        <w:rPr>
          <w:rFonts w:ascii="Times New Roman" w:hAnsi="Times New Roman"/>
          <w:color w:val="CC0000"/>
          <w:sz w:val="20"/>
        </w:rPr>
        <w:t xml:space="preserve">73. </w:t>
      </w:r>
      <w:r>
        <w:rPr>
          <w:color w:val="CC0000"/>
        </w:rPr>
        <w:t xml:space="preserve">Liu S, Wright AP, McCoy AB, Huang SS, Steitz B, Wright A (2025) Detecting emergencies in patient portal messages using LLMs and knowledge-graph-based RAG. JAMIA 32(6):1032.</w:t>
      </w:r>
    </w:p>
    <w:p>
      <w:pPr>
        <w:pStyle w:val="ReferenceEntry"/>
        <w:spacing w:after="100"/>
        <w:ind w:left="475" w:hanging="475"/>
        <w:jc w:val="left"/>
        <w:keepNext w:val="0"/>
        <w:keepLines w:val="0"/>
        <w:widowControl w:val="1"/>
      </w:pPr>
      <w:r>
        <w:rPr>
          <w:rFonts w:ascii="Times New Roman" w:hAnsi="Times New Roman"/>
          <w:color w:val="CC0000"/>
          <w:sz w:val="20"/>
        </w:rPr>
        <w:t xml:space="preserve">74. </w:t>
      </w:r>
      <w:r>
        <w:rPr>
          <w:color w:val="CC0000"/>
        </w:rPr>
        <w:t xml:space="preserve">Hartman V, et al (2024) Developing and Evaluating Large Language Model-Generated Emergency Medicine Handoff Notes.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75. </w:t>
      </w:r>
      <w:r>
        <w:rPr>
          <w:color w:val="CC0000"/>
        </w:rPr>
        <w:t xml:space="preserve">Apartsin A, Sason O, Aperstein Y (2026) Toward a Benchmark for Controllable Simulation of Imperfect Students with Large Language Models. arXiv:2605.25601.</w:t>
      </w:r>
    </w:p>
    <w:p>
      <w:pPr>
        <w:pStyle w:val="ReferenceEntry"/>
        <w:spacing w:after="100"/>
        <w:ind w:left="475" w:hanging="475"/>
        <w:jc w:val="left"/>
        <w:keepNext w:val="0"/>
        <w:keepLines w:val="0"/>
        <w:widowControl w:val="1"/>
      </w:pPr>
      <w:r>
        <w:rPr>
          <w:rFonts w:ascii="Times New Roman" w:hAnsi="Times New Roman"/>
          <w:color w:val="CC0000"/>
          <w:sz w:val="20"/>
        </w:rPr>
        <w:t xml:space="preserve">76. </w:t>
      </w:r>
      <w:r>
        <w:rPr>
          <w:color w:val="CC0000"/>
        </w:rPr>
        <w:t xml:space="preserve">Aperstein Y, Cohen Y, Apartsin A (2025) Generative AI-Based Platform for Deliberate Teaching Practice: A Review and a Suggested Framework. Education Sciences.</w:t>
      </w:r>
    </w:p>
    <w:p>
      <w:pPr>
        <w:pStyle w:val="ReferenceEntry"/>
        <w:spacing w:after="100"/>
        <w:ind w:left="475" w:hanging="475"/>
        <w:jc w:val="left"/>
        <w:keepNext w:val="0"/>
        <w:keepLines w:val="0"/>
        <w:widowControl w:val="1"/>
      </w:pPr>
      <w:r>
        <w:rPr>
          <w:rFonts w:ascii="Times New Roman" w:hAnsi="Times New Roman"/>
          <w:color w:val="CC0000"/>
          <w:sz w:val="20"/>
        </w:rPr>
        <w:t xml:space="preserve">77. </w:t>
      </w:r>
      <w:r>
        <w:rPr>
          <w:color w:val="CC0000"/>
        </w:rPr>
        <w:t xml:space="preserve">Apartsin A, Aperstein Y (2026) Framing, Judging, Steering: An Assessable Competency Model for Teaching Students to Reason With Generative AI. arXiv:2606.05983.</w:t>
      </w:r>
    </w:p>
    <w:p>
      <w:pPr>
        <w:pStyle w:val="ReferenceEntry"/>
        <w:spacing w:after="100"/>
        <w:ind w:left="475" w:hanging="475"/>
        <w:jc w:val="left"/>
        <w:keepNext w:val="0"/>
        <w:keepLines w:val="0"/>
        <w:widowControl w:val="1"/>
      </w:pPr>
      <w:r>
        <w:rPr>
          <w:rFonts w:ascii="Times New Roman" w:hAnsi="Times New Roman"/>
          <w:color w:val="CC0000"/>
          <w:sz w:val="20"/>
        </w:rPr>
        <w:t xml:space="preserve">78. </w:t>
      </w:r>
      <w:r>
        <w:rPr>
          <w:color w:val="CC0000"/>
        </w:rPr>
        <w:t xml:space="preserve">Markel J, Opferman S, Landay J, Piech C (2023) GPTeach: Interactive TA Training with GPT-based Students. ACM Learning@Scale.</w:t>
      </w:r>
      <w:r>
        <w:rPr>
          <w:color w:val="CC0000"/>
        </w:rPr>
        <w:t xml:space="preserve"> </w:t>
      </w:r>
      <w:hyperlink r:id="rId69">
        <w:r>
          <w:rPr>
            <w:rStyle w:val="Hyperlink"/>
          </w:rPr>
          <w:t xml:space="preserve">https://doi.org/10.1145/3573051.3593393</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79. </w:t>
      </w:r>
      <w:r>
        <w:rPr>
          <w:color w:val="CC0000"/>
        </w:rPr>
        <w:t xml:space="preserve">Shea R, et al (2024) ACE: A LLM-based Negotiation Coaching System. arXiv:2410.01555.</w:t>
      </w:r>
    </w:p>
    <w:p>
      <w:pPr>
        <w:pStyle w:val="ReferenceEntry"/>
        <w:spacing w:after="100"/>
        <w:ind w:left="475" w:hanging="475"/>
        <w:jc w:val="left"/>
        <w:keepNext w:val="0"/>
        <w:keepLines w:val="0"/>
        <w:widowControl w:val="1"/>
      </w:pPr>
      <w:r>
        <w:rPr>
          <w:rFonts w:ascii="Times New Roman" w:hAnsi="Times New Roman"/>
          <w:color w:val="CC0000"/>
          <w:sz w:val="20"/>
        </w:rPr>
        <w:t xml:space="preserve">80. </w:t>
      </w:r>
      <w:r>
        <w:rPr>
          <w:color w:val="CC0000"/>
        </w:rPr>
        <w:t xml:space="preserve">Zhang Z, et al (2024) Simulating Classroom Education with LLM-Empowered Agents. arXiv:2406.19226.</w:t>
      </w:r>
    </w:p>
    <w:p>
      <w:pPr>
        <w:pStyle w:val="ReferenceEntry"/>
        <w:spacing w:after="100"/>
        <w:ind w:left="475" w:hanging="475"/>
        <w:jc w:val="left"/>
        <w:keepNext w:val="0"/>
        <w:keepLines w:val="0"/>
        <w:widowControl w:val="1"/>
      </w:pPr>
      <w:r>
        <w:rPr>
          <w:rFonts w:ascii="Times New Roman" w:hAnsi="Times New Roman"/>
          <w:color w:val="CC0000"/>
          <w:sz w:val="20"/>
        </w:rPr>
        <w:t xml:space="preserve">81. </w:t>
      </w:r>
      <w:r>
        <w:rPr>
          <w:color w:val="CC0000"/>
        </w:rPr>
        <w:t xml:space="preserve">Holderried F, et al (2024) A Generative Pretrained Transformer (GPT)-Powered Chatbot as a Simulated Patient to Practice History Taking. JMIR Medical Education.</w:t>
      </w:r>
      <w:r>
        <w:rPr>
          <w:color w:val="CC0000"/>
        </w:rPr>
        <w:t xml:space="preserve"> </w:t>
      </w:r>
      <w:hyperlink r:id="rId70">
        <w:r>
          <w:rPr>
            <w:rStyle w:val="Hyperlink"/>
          </w:rPr>
          <w:t xml:space="preserve">https://doi.org/10.2196/53961</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82. </w:t>
      </w:r>
      <w:r>
        <w:rPr>
          <w:color w:val="CC0000"/>
        </w:rPr>
        <w:t xml:space="preserve">Johri S, et al (2025) An evaluation framework for clinical use of large language models in patient interaction tasks (CRAFT-MD). Nature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83. </w:t>
      </w:r>
      <w:r>
        <w:rPr>
          <w:color w:val="CC0000"/>
        </w:rPr>
        <w:t xml:space="preserve">Zeng J, Qi W, Shen S, Liu X, et al (2025) Embracing the Future of Medical Education With Large Language Model-Based Virtual Patients: Scoping Review.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84. </w:t>
      </w:r>
      <w:r>
        <w:rPr>
          <w:color w:val="CC0000"/>
        </w:rPr>
        <w:t xml:space="preserve">Li D, Lutfi SL (2026) Large Language Model-Based Virtual Patient Systems for History-Taking in Medical Education: A Comprehensive Systematic Review. JMIR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85. </w:t>
      </w:r>
      <w:r>
        <w:rPr>
          <w:color w:val="CC0000"/>
        </w:rPr>
        <w:t xml:space="preserve">Kang D, et al (2025) PatientSim: A Persona-Driven Simulator for Realistic Doctor-Patient Interactions. arXiv:2505.17818.</w:t>
      </w:r>
    </w:p>
    <w:p>
      <w:pPr>
        <w:pStyle w:val="ReferenceEntry"/>
        <w:spacing w:after="100"/>
        <w:ind w:left="475" w:hanging="475"/>
        <w:jc w:val="left"/>
        <w:keepNext w:val="0"/>
        <w:keepLines w:val="0"/>
        <w:widowControl w:val="1"/>
      </w:pPr>
      <w:r>
        <w:rPr>
          <w:rFonts w:ascii="Times New Roman" w:hAnsi="Times New Roman"/>
          <w:color w:val="CC0000"/>
          <w:sz w:val="20"/>
        </w:rPr>
        <w:t xml:space="preserve">86. </w:t>
      </w:r>
      <w:r>
        <w:rPr>
          <w:color w:val="CC0000"/>
        </w:rPr>
        <w:t xml:space="preserve">Shapira G, Apartsin A (2026) SPINE: A Benchmark for Measuring the Epistemic Backbone of Large Language Models. Harvard Dataverse.</w:t>
      </w:r>
      <w:r>
        <w:rPr>
          <w:color w:val="CC0000"/>
        </w:rPr>
        <w:t xml:space="preserve"> </w:t>
      </w:r>
      <w:hyperlink r:id="rId71">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87. </w:t>
      </w:r>
      <w:r>
        <w:rPr>
          <w:color w:val="CC0000"/>
        </w:rPr>
        <w:t xml:space="preserve">Cohen Y, Ohayon D, Somkin R, Aperstein Y, Apartsin A (2025) Code Review Without Borders: Evaluating Synthetic vs. Real Data for Review Recommendation. arXiv:2509.04810.</w:t>
      </w:r>
    </w:p>
    <w:p>
      <w:pPr>
        <w:pStyle w:val="ReferenceEntry"/>
        <w:spacing w:after="100"/>
        <w:ind w:left="475" w:hanging="475"/>
        <w:jc w:val="left"/>
        <w:keepNext w:val="0"/>
        <w:keepLines w:val="0"/>
        <w:widowControl w:val="1"/>
      </w:pPr>
      <w:r>
        <w:rPr>
          <w:rFonts w:ascii="Times New Roman" w:hAnsi="Times New Roman"/>
          <w:color w:val="CC0000"/>
          <w:sz w:val="20"/>
        </w:rPr>
        <w:t xml:space="preserve">88. </w:t>
      </w:r>
      <w:r>
        <w:rPr>
          <w:color w:val="CC0000"/>
        </w:rPr>
        <w:t xml:space="preserve">Dahary S, Edana A, Apartsin A, Aperstein Y (2025) From Joy to Fear: A Benchmark of Emotion Estimation in Pop Song Lyrics. arXiv:2509.05617.</w:t>
      </w:r>
    </w:p>
    <w:p>
      <w:pPr>
        <w:pStyle w:val="ReferenceEntry"/>
        <w:spacing w:after="100"/>
        <w:ind w:left="475" w:hanging="475"/>
        <w:jc w:val="left"/>
        <w:keepNext w:val="0"/>
        <w:keepLines w:val="0"/>
        <w:widowControl w:val="1"/>
      </w:pPr>
      <w:r>
        <w:rPr>
          <w:rFonts w:ascii="Times New Roman" w:hAnsi="Times New Roman"/>
          <w:color w:val="CC0000"/>
          <w:sz w:val="20"/>
        </w:rPr>
        <w:t xml:space="preserve">89. </w:t>
      </w:r>
      <w:r>
        <w:rPr>
          <w:color w:val="CC0000"/>
        </w:rPr>
        <w:t xml:space="preserve">Cohen M, Shani S, Menahem E, Aperstein Y, Apartsin A (2025) Reading Between the Lines: Classifying Resume Seniority with Large Language Models. arXiv:2509.09229.</w:t>
      </w:r>
    </w:p>
    <w:p>
      <w:pPr>
        <w:pStyle w:val="ReferenceEntry"/>
        <w:spacing w:after="100"/>
        <w:ind w:left="475" w:hanging="475"/>
        <w:jc w:val="left"/>
        <w:keepNext w:val="0"/>
        <w:keepLines w:val="0"/>
        <w:widowControl w:val="1"/>
      </w:pPr>
      <w:r>
        <w:rPr>
          <w:rFonts w:ascii="Times New Roman" w:hAnsi="Times New Roman"/>
          <w:color w:val="CC0000"/>
          <w:sz w:val="20"/>
        </w:rPr>
        <w:t xml:space="preserve">90. </w:t>
      </w:r>
      <w:r>
        <w:rPr>
          <w:color w:val="CC0000"/>
        </w:rPr>
        <w:t xml:space="preserve">Yao Z, et al (2025) DischargeSim: A Simulation Benchmark for Educational Doctor-Patient Communication at Discharge. arXiv:2509.07188.</w:t>
      </w:r>
    </w:p>
    <w:p>
      <w:pPr>
        <w:pStyle w:val="ReferenceEntry"/>
        <w:spacing w:after="100"/>
        <w:ind w:left="475" w:hanging="475"/>
        <w:jc w:val="left"/>
        <w:keepNext w:val="0"/>
        <w:keepLines w:val="0"/>
        <w:widowControl w:val="1"/>
      </w:pPr>
      <w:r>
        <w:rPr>
          <w:rFonts w:ascii="Times New Roman" w:hAnsi="Times New Roman"/>
          <w:color w:val="CC0000"/>
          <w:sz w:val="20"/>
        </w:rPr>
        <w:t xml:space="preserve">91. </w:t>
      </w:r>
      <w:r>
        <w:rPr>
          <w:color w:val="CC0000"/>
        </w:rPr>
        <w:t xml:space="preserve">Xu J, et al (2024) Overview of the First Shared Task on Clinical Text Generation: RRG24 and Discharge Me! BioNLP, ACL (arXiv:2409.16603).</w:t>
      </w:r>
    </w:p>
    <w:p>
      <w:pPr>
        <w:pStyle w:val="ReferenceEntry"/>
        <w:spacing w:after="100"/>
        <w:ind w:left="475" w:hanging="475"/>
        <w:jc w:val="left"/>
        <w:keepNext w:val="0"/>
        <w:keepLines w:val="0"/>
        <w:widowControl w:val="1"/>
      </w:pPr>
      <w:r>
        <w:rPr>
          <w:rFonts w:ascii="Times New Roman" w:hAnsi="Times New Roman"/>
          <w:color w:val="CC0000"/>
          <w:sz w:val="20"/>
        </w:rPr>
        <w:t xml:space="preserve">92. </w:t>
      </w:r>
      <w:r>
        <w:rPr>
          <w:color w:val="CC0000"/>
        </w:rPr>
        <w:t xml:space="preserve">Meeus M, Wutschitz L, Zanella-Beguelin S, Tople S, Shokri R (2025) The Canary's Echo: Auditing Privacy Risks of LLM-Generated Synthetic Text. arXiv:2502.14921.</w:t>
      </w:r>
    </w:p>
    <w:p>
      <w:pPr>
        <w:pStyle w:val="ReferenceEntry"/>
        <w:spacing w:after="100"/>
        <w:ind w:left="475" w:hanging="475"/>
        <w:jc w:val="left"/>
        <w:keepNext w:val="0"/>
        <w:keepLines w:val="0"/>
        <w:widowControl w:val="1"/>
      </w:pPr>
      <w:r>
        <w:rPr>
          <w:rFonts w:ascii="Times New Roman" w:hAnsi="Times New Roman"/>
          <w:color w:val="CC0000"/>
          <w:sz w:val="20"/>
        </w:rPr>
        <w:t xml:space="preserve">93. </w:t>
      </w:r>
      <w:r>
        <w:rPr>
          <w:color w:val="CC0000"/>
        </w:rPr>
        <w:t xml:space="preserve">Sun Y, Schlegel V, Nandakumar S, et al (2025) Evaluating Differentially Private Generation of Domain-Specific Text. arXiv:2508.20452.</w:t>
      </w:r>
    </w:p>
    <w:p>
      <w:pPr>
        <w:pStyle w:val="ReferenceEntry"/>
        <w:spacing w:after="100"/>
        <w:ind w:left="475" w:hanging="475"/>
        <w:jc w:val="left"/>
        <w:keepNext w:val="0"/>
        <w:keepLines w:val="0"/>
        <w:widowControl w:val="1"/>
      </w:pPr>
      <w:r>
        <w:rPr>
          <w:rFonts w:ascii="Times New Roman" w:hAnsi="Times New Roman"/>
          <w:color w:val="CC0000"/>
          <w:sz w:val="20"/>
        </w:rPr>
        <w:t xml:space="preserve">94. </w:t>
      </w:r>
      <w:r>
        <w:rPr>
          <w:color w:val="CC0000"/>
        </w:rPr>
        <w:t xml:space="preserve">Iglesias G, Bello-Orgaz G, Navas-Loro M, et al (2026) Fidelity, Diversity, and Privacy: A Multi-Dimensional LLM Evaluation for Clinical Data Augmentation. arXiv:2604.27014.</w:t>
      </w:r>
    </w:p>
    <w:p>
      <w:pPr>
        <w:pStyle w:val="ReferenceEntry"/>
        <w:spacing w:after="100"/>
        <w:ind w:left="475" w:hanging="475"/>
        <w:jc w:val="left"/>
        <w:keepNext w:val="0"/>
        <w:keepLines w:val="0"/>
        <w:widowControl w:val="1"/>
      </w:pPr>
      <w:r>
        <w:rPr>
          <w:rFonts w:ascii="Times New Roman" w:hAnsi="Times New Roman"/>
          <w:color w:val="CC0000"/>
          <w:sz w:val="20"/>
        </w:rPr>
        <w:t xml:space="preserve">95. </w:t>
      </w:r>
      <w:r>
        <w:rPr>
          <w:color w:val="CC0000"/>
        </w:rPr>
        <w:t xml:space="preserve">Räisä O, van Breugel B, van der Schaar M (2025) Position: All Current Generative Fidelity and Diversity Metrics are Flawed. arXiv:2505.22450.</w:t>
      </w:r>
    </w:p>
    <w:p>
      <w:pPr>
        <w:pStyle w:val="ReferenceEntry"/>
        <w:spacing w:after="100"/>
        <w:ind w:left="475" w:hanging="475"/>
        <w:jc w:val="left"/>
        <w:keepNext w:val="0"/>
        <w:keepLines w:val="0"/>
        <w:widowControl w:val="1"/>
      </w:pPr>
      <w:r>
        <w:rPr>
          <w:rFonts w:ascii="Times New Roman" w:hAnsi="Times New Roman"/>
          <w:color w:val="CC0000"/>
          <w:sz w:val="20"/>
        </w:rPr>
        <w:t xml:space="preserve">96. </w:t>
      </w:r>
      <w:r>
        <w:rPr>
          <w:color w:val="CC0000"/>
        </w:rPr>
        <w:t xml:space="preserve">Asgari E, Montaña-Brown N, Dubois M, et al (2025) A framework to assess clinical safety and hallucination rates of LLMs for medical text summarisation. npj Digital Medicine.</w:t>
      </w:r>
      <w:r>
        <w:rPr>
          <w:color w:val="CC0000"/>
        </w:rPr>
        <w:t xml:space="preserve"> </w:t>
      </w:r>
      <w:hyperlink r:id="rId72">
        <w:r>
          <w:rPr>
            <w:rStyle w:val="Hyperlink"/>
          </w:rPr>
          <w:t xml:space="preserve">https://doi.org/10.1038/s41746-025-01670-7</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97. </w:t>
      </w:r>
      <w:r>
        <w:rPr>
          <w:color w:val="CC0000"/>
        </w:rPr>
        <w:t xml:space="preserve">Barman N (2023) Symptom2Disease. Kaggle dataset.</w:t>
      </w:r>
      <w:r>
        <w:rPr>
          <w:color w:val="CC0000"/>
        </w:rPr>
        <w:t xml:space="preserve"> </w:t>
      </w:r>
      <w:hyperlink r:id="rId73">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98. </w:t>
      </w:r>
      <w:r>
        <w:rPr>
          <w:color w:val="CC0000"/>
        </w:rPr>
        <w:t xml:space="preserve">Johnson A, et al (2023) MIMIC-IV-ED (v2.2). PhysioNet.</w:t>
      </w:r>
      <w:r>
        <w:rPr>
          <w:color w:val="CC0000"/>
        </w:rPr>
        <w:t xml:space="preserve"> </w:t>
      </w:r>
      <w:hyperlink r:id="rId74">
        <w:r>
          <w:rPr>
            <w:rStyle w:val="Hyperlink"/>
          </w:rPr>
          <w:t xml:space="preserve">https://doi.org/10.13026/5ntk-km72</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99. </w:t>
      </w:r>
      <w:r>
        <w:rPr>
          <w:color w:val="CC0000"/>
        </w:rPr>
        <w:t xml:space="preserve">Gatto J, Seegmiller P, Burdick T, Resnik P, Rahat R, DeLozier S, Preum SM (2026) Medical Triage as Pairwise Ranking (PMR-Bench). arXiv:2601.13178.</w:t>
      </w:r>
    </w:p>
    <w:p>
      <w:pPr>
        <w:pStyle w:val="ReferenceEntry"/>
        <w:spacing w:after="100"/>
        <w:ind w:left="475" w:hanging="475"/>
        <w:jc w:val="left"/>
        <w:keepNext w:val="0"/>
        <w:keepLines w:val="0"/>
        <w:widowControl w:val="1"/>
      </w:pPr>
      <w:r>
        <w:rPr>
          <w:rFonts w:ascii="Times New Roman" w:hAnsi="Times New Roman"/>
          <w:color w:val="CC0000"/>
          <w:sz w:val="20"/>
        </w:rPr>
        <w:t xml:space="preserve">100. </w:t>
      </w:r>
      <w:r>
        <w:rPr>
          <w:color w:val="CC0000"/>
        </w:rPr>
        <w:t xml:space="preserve">Li X, Yu H, Wang W, Wu Y, Zhou J, et al (2026) DispatchMAS: Fusing Taxonomy and AI Agents for Emergency Medical Services. BMC Emergency Medicine (arXiv:2510.21228).</w:t>
      </w:r>
    </w:p>
    <w:p>
      <w:pPr>
        <w:pStyle w:val="ReferenceEntry"/>
        <w:spacing w:after="100"/>
        <w:ind w:left="475" w:hanging="475"/>
        <w:jc w:val="left"/>
        <w:keepNext w:val="0"/>
        <w:keepLines w:val="0"/>
        <w:widowControl w:val="1"/>
      </w:pPr>
      <w:r>
        <w:rPr>
          <w:rFonts w:ascii="Times New Roman" w:hAnsi="Times New Roman"/>
          <w:color w:val="CC0000"/>
          <w:sz w:val="20"/>
        </w:rPr>
        <w:t xml:space="preserve">101. </w:t>
      </w:r>
      <w:r>
        <w:rPr>
          <w:color w:val="CC0000"/>
        </w:rPr>
        <w:t xml:space="preserve">Mishra P, et al (2024) SYNFAC-EDIT: Synthetic Imitation Edit Feedback for Factual Alignment in Clinical Summarization. arXiv:2402.13919.</w:t>
      </w:r>
    </w:p>
    <w:p>
      <w:pPr>
        <w:pStyle w:val="ReferenceEntry"/>
        <w:spacing w:after="100"/>
        <w:ind w:left="475" w:hanging="475"/>
        <w:jc w:val="left"/>
        <w:keepNext w:val="0"/>
        <w:keepLines w:val="0"/>
        <w:widowControl w:val="1"/>
      </w:pPr>
      <w:r>
        <w:rPr>
          <w:rFonts w:ascii="Times New Roman" w:hAnsi="Times New Roman"/>
          <w:color w:val="CC0000"/>
          <w:sz w:val="20"/>
        </w:rPr>
        <w:t xml:space="preserve">102. </w:t>
      </w:r>
      <w:r>
        <w:rPr>
          <w:color w:val="CC0000"/>
        </w:rPr>
        <w:t xml:space="preserve">Lim J, et al (2025) MATRIX: Multi-Agent Simulation Framework for Safe Interactions and Contextual Clinical Conversational Evaluation. arXiv:2508.19163.</w:t>
      </w:r>
    </w:p>
    <w:p>
      <w:pPr>
        <w:pStyle w:val="ReferenceEntry"/>
        <w:spacing w:after="100"/>
        <w:ind w:left="475" w:hanging="475"/>
        <w:jc w:val="left"/>
        <w:keepNext w:val="0"/>
        <w:keepLines w:val="0"/>
        <w:widowControl w:val="1"/>
      </w:pPr>
      <w:r>
        <w:rPr>
          <w:rFonts w:ascii="Times New Roman" w:hAnsi="Times New Roman"/>
          <w:color w:val="CC0000"/>
          <w:sz w:val="20"/>
        </w:rPr>
        <w:t xml:space="preserve">103. </w:t>
      </w:r>
      <w:r>
        <w:rPr>
          <w:color w:val="CC0000"/>
        </w:rPr>
        <w:t xml:space="preserve">Schmidgall S, et al (2024) AgentClinic: A Multimodal Agent Benchmark to Evaluate AI in Simulated Clinical Environments. arXiv:2405.07960.</w:t>
      </w:r>
    </w:p>
    <w:p>
      <w:pPr>
        <w:pStyle w:val="ReferenceEntry"/>
        <w:spacing w:after="100"/>
        <w:ind w:left="475" w:hanging="475"/>
        <w:jc w:val="left"/>
        <w:keepNext w:val="0"/>
        <w:keepLines w:val="0"/>
        <w:widowControl w:val="1"/>
      </w:pPr>
      <w:r>
        <w:rPr>
          <w:rFonts w:ascii="Times New Roman" w:hAnsi="Times New Roman"/>
          <w:color w:val="CC0000"/>
          <w:sz w:val="20"/>
        </w:rPr>
        <w:t xml:space="preserve">104. </w:t>
      </w:r>
      <w:r>
        <w:rPr>
          <w:color w:val="CC0000"/>
        </w:rPr>
        <w:t xml:space="preserve">Bao Z, et al (2024) A Survey on Recent Advances in Conversational Data Generation. arXiv:2405.13003.</w:t>
      </w:r>
    </w:p>
    <w:p>
      <w:pPr>
        <w:pStyle w:val="ReferenceEntry"/>
        <w:spacing w:after="100"/>
        <w:ind w:left="475" w:hanging="475"/>
        <w:jc w:val="left"/>
        <w:keepNext w:val="0"/>
        <w:keepLines w:val="0"/>
        <w:widowControl w:val="1"/>
      </w:pPr>
      <w:r>
        <w:rPr>
          <w:rFonts w:ascii="Times New Roman" w:hAnsi="Times New Roman"/>
          <w:color w:val="CC0000"/>
          <w:sz w:val="20"/>
        </w:rPr>
        <w:t xml:space="preserve">105. </w:t>
      </w:r>
      <w:r>
        <w:rPr>
          <w:color w:val="CC0000"/>
        </w:rPr>
        <w:t xml:space="preserve">Shumailov I, et al (2023) The Curse of Recursion: Training on Generated Data Makes Models Forget. arXiv:2305.17493.</w:t>
      </w:r>
    </w:p>
    <w:p>
      <w:pPr>
        <w:pStyle w:val="ReferenceEntry"/>
        <w:spacing w:after="100"/>
        <w:ind w:left="475" w:hanging="475"/>
        <w:jc w:val="left"/>
        <w:keepNext w:val="0"/>
        <w:keepLines w:val="0"/>
        <w:widowControl w:val="1"/>
      </w:pPr>
      <w:r>
        <w:rPr>
          <w:rFonts w:ascii="Times New Roman" w:hAnsi="Times New Roman"/>
          <w:color w:val="CC0000"/>
          <w:sz w:val="20"/>
        </w:rPr>
        <w:t xml:space="preserve">106. </w:t>
      </w:r>
      <w:r>
        <w:rPr>
          <w:color w:val="CC0000"/>
        </w:rPr>
        <w:t xml:space="preserve">Qin Z, et al (2025) Scaling Laws of Synthetic Data for Language Models. COLM (arXiv:2503.19551).</w:t>
      </w:r>
    </w:p>
    <w:p>
      <w:pPr>
        <w:pStyle w:val="ReferenceEntry"/>
        <w:spacing w:after="100"/>
        <w:ind w:left="475" w:hanging="475"/>
        <w:jc w:val="left"/>
        <w:keepNext w:val="0"/>
        <w:keepLines w:val="0"/>
        <w:widowControl w:val="1"/>
      </w:pPr>
      <w:r>
        <w:rPr>
          <w:rFonts w:ascii="Times New Roman" w:hAnsi="Times New Roman"/>
          <w:color w:val="CC0000"/>
          <w:sz w:val="20"/>
        </w:rPr>
        <w:t xml:space="preserve">107. </w:t>
      </w:r>
      <w:r>
        <w:rPr>
          <w:color w:val="CC0000"/>
        </w:rPr>
        <w:t xml:space="preserve">Yao Z, et al (2024) MedQA-CS: An OSCE-Style Benchmark for Evaluating LLM Clinical Skills. arXiv:2410.01553.</w:t>
      </w:r>
    </w:p>
    <w:p>
      <w:pPr>
        <w:pStyle w:val="ReferenceEntry"/>
        <w:spacing w:after="100"/>
        <w:ind w:left="475" w:hanging="475"/>
        <w:jc w:val="left"/>
        <w:keepNext w:val="0"/>
        <w:keepLines w:val="0"/>
        <w:widowControl w:val="1"/>
      </w:pPr>
      <w:r>
        <w:rPr>
          <w:rFonts w:ascii="Times New Roman" w:hAnsi="Times New Roman"/>
          <w:color w:val="CC0000"/>
          <w:sz w:val="20"/>
        </w:rPr>
        <w:t xml:space="preserve">108. </w:t>
      </w:r>
      <w:r>
        <w:rPr>
          <w:color w:val="CC0000"/>
        </w:rPr>
        <w:t xml:space="preserve">Wang Y, et al (2024) M4: Multi-generator, Multi-domain, and Multi-lingual Black-Box Machine-Generated Text Detection. EACL.</w:t>
      </w:r>
    </w:p>
    <w:p>
      <w:pPr>
        <w:pStyle w:val="ReferenceEntry"/>
        <w:spacing w:after="100"/>
        <w:ind w:left="475" w:hanging="475"/>
        <w:jc w:val="left"/>
        <w:keepNext w:val="0"/>
        <w:keepLines w:val="0"/>
        <w:widowControl w:val="1"/>
      </w:pPr>
      <w:r>
        <w:rPr>
          <w:rFonts w:ascii="Times New Roman" w:hAnsi="Times New Roman"/>
          <w:color w:val="CC0000"/>
          <w:sz w:val="20"/>
        </w:rPr>
        <w:t xml:space="preserve">109. </w:t>
      </w:r>
      <w:r>
        <w:rPr>
          <w:color w:val="CC0000"/>
        </w:rPr>
        <w:t xml:space="preserve">Diaz Ochoa J, Layer N, Mahr J, Mustafa F, et al (2025) Optimized BERT-based NLP outperforms zero-shot methods for automated symptom detection in clinical practice. Frontiers in Digital Health.</w:t>
      </w:r>
      <w:r>
        <w:rPr>
          <w:color w:val="CC0000"/>
        </w:rPr>
        <w:t xml:space="preserve"> </w:t>
      </w:r>
      <w:hyperlink r:id="rId75">
        <w:r>
          <w:rPr>
            <w:rStyle w:val="Hyperlink"/>
          </w:rPr>
          <w:t xml:space="preserve">https://doi.org/10.3389/fdgth.2025.1623922</w:t>
        </w:r>
      </w:hyperlink>
    </w:p>
    <w:bookmarkEnd w:id="76"/>
    <w:bookmarkEnd w:id="77"/>
    <w:sectPr w:rsidR="00FC693F" w:rsidRPr="0006063C" w:rsidSect="00034616">
      <w:footerReference w:type="default" r:id="rId10"/>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9" Type="http://schemas.openxmlformats.org/officeDocument/2006/relationships/image" Target="media/rId29.png"/><Relationship Id="rId33" Type="http://schemas.openxmlformats.org/officeDocument/2006/relationships/image" Target="media/rId33.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68" Type="http://schemas.openxmlformats.org/officeDocument/2006/relationships/hyperlink" Target="https://doi.org/10.1007/s41666-026-00229-9" TargetMode="External"/><Relationship Id="rId72" Type="http://schemas.openxmlformats.org/officeDocument/2006/relationships/hyperlink" Target="https://doi.org/10.1038/s41746-025-01670-7" TargetMode="External"/><Relationship Id="rId69" Type="http://schemas.openxmlformats.org/officeDocument/2006/relationships/hyperlink" Target="https://doi.org/10.1145/3573051.3593393" TargetMode="External"/><Relationship Id="rId74" Type="http://schemas.openxmlformats.org/officeDocument/2006/relationships/hyperlink" Target="https://doi.org/10.13026/5ntk-km72" TargetMode="External"/><Relationship Id="rId70" Type="http://schemas.openxmlformats.org/officeDocument/2006/relationships/hyperlink" Target="https://doi.org/10.2196/53961" TargetMode="External"/><Relationship Id="rId75"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1" Type="http://schemas.openxmlformats.org/officeDocument/2006/relationships/hyperlink" Target="https://doi.org/10.7910/DVN/CG9X6D" TargetMode="External"/><Relationship Id="rId67" Type="http://schemas.openxmlformats.org/officeDocument/2006/relationships/hyperlink" Target="https://www.candello.com/Insights/Candello-Reports" TargetMode="External"/><Relationship Id="rId66" Type="http://schemas.openxmlformats.org/officeDocument/2006/relationships/hyperlink" Target="https://www.jointcommission.org/resources/sentinel-event/sentinel-event-data-summary/" TargetMode="External"/><Relationship Id="rId73" Type="http://schemas.openxmlformats.org/officeDocument/2006/relationships/hyperlink" Target="https://www.kaggle.com/datasets/niyarrbarman/symptom2disease"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8" Type="http://schemas.openxmlformats.org/officeDocument/2006/relationships/hyperlink" Target="https://doi.org/10.1007/s41666-026-00229-9" TargetMode="External"/><Relationship Id="rId72" Type="http://schemas.openxmlformats.org/officeDocument/2006/relationships/hyperlink" Target="https://doi.org/10.1038/s41746-025-01670-7" TargetMode="External"/><Relationship Id="rId69" Type="http://schemas.openxmlformats.org/officeDocument/2006/relationships/hyperlink" Target="https://doi.org/10.1145/3573051.3593393" TargetMode="External"/><Relationship Id="rId74" Type="http://schemas.openxmlformats.org/officeDocument/2006/relationships/hyperlink" Target="https://doi.org/10.13026/5ntk-km72" TargetMode="External"/><Relationship Id="rId70" Type="http://schemas.openxmlformats.org/officeDocument/2006/relationships/hyperlink" Target="https://doi.org/10.2196/53961" TargetMode="External"/><Relationship Id="rId75"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1" Type="http://schemas.openxmlformats.org/officeDocument/2006/relationships/hyperlink" Target="https://doi.org/10.7910/DVN/CG9X6D" TargetMode="External"/><Relationship Id="rId67" Type="http://schemas.openxmlformats.org/officeDocument/2006/relationships/hyperlink" Target="https://www.candello.com/Insights/Candello-Reports" TargetMode="External"/><Relationship Id="rId66" Type="http://schemas.openxmlformats.org/officeDocument/2006/relationships/hyperlink" Target="https://www.jointcommission.org/resources/sentinel-event/sentinel-event-data-summary/" TargetMode="External"/><Relationship Id="rId73"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2026-08-09T12:07:25Z</dcterms:created>
  <dcterms:modified xsi:type="dcterms:W3CDTF">2026-08-09T12:07:25Z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