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The work spans three concerns of healthcare informatics:</w:t>
      </w:r>
      <w:r>
        <w:t xml:space="preserve"> </w:t>
      </w:r>
      <w:r>
        <w:t xml:space="preserve">analytics, in the generative-AI and machine-learning methods used to produce and process clinical text;</w:t>
      </w:r>
      <w:r>
        <w:t xml:space="preserve"> </w:t>
      </w:r>
      <w:r>
        <w:t xml:space="preserve">systems, in building natural language processing for under-served communication channels; and</w:t>
      </w:r>
      <w:r>
        <w:t xml:space="preserve"> </w:t>
      </w:r>
      <w:r>
        <w:t xml:space="preserve">human-centered computing, in the clinician and patient communication these systems ultimately serve.</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[25,18,19,26]</w:t>
      </w:r>
      <w:r>
        <w:t xml:space="preserve">,</w:t>
      </w:r>
      <w:r>
        <w:t xml:space="preserve"> </w:t>
      </w:r>
      <w:r>
        <w:t xml:space="preserve">are now moving into practice as clinician-facing scribes</w:t>
      </w:r>
      <w:r>
        <w:rPr>
          <w:vertAlign w:val="superscript"/>
        </w:rPr>
        <w:t xml:space="preserve">[27]</w:t>
      </w:r>
      <w:r>
        <w:t xml:space="preserve">. Information extraction</w:t>
      </w:r>
      <w:r>
        <w:t xml:space="preserve"> </w:t>
      </w:r>
      <w:r>
        <w:t xml:space="preserve">has been applied to paramedic narratives</w:t>
      </w:r>
      <w:r>
        <w:rPr>
          <w:vertAlign w:val="superscript"/>
        </w:rPr>
        <w:t xml:space="preserve">[28]</w:t>
      </w:r>
      <w:r>
        <w:t xml:space="preserve"> </w:t>
      </w:r>
      <w:r>
        <w:t xml:space="preserve">and, in emergency medicine more</w:t>
      </w:r>
      <w:r>
        <w:t xml:space="preserve"> </w:t>
      </w:r>
      <w:r>
        <w:t xml:space="preserve">broadly, is the subject of dedicated reviews</w:t>
      </w:r>
      <w:r>
        <w:rPr>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[31,32]</w:t>
      </w:r>
      <w:r>
        <w:t xml:space="preserve">; and patient-portal messages are increasingly triaged and routed</w:t>
      </w:r>
      <w:r>
        <w:t xml:space="preserve"> </w:t>
      </w:r>
      <w:r>
        <w:t xml:space="preserve">automatically</w:t>
      </w:r>
      <w:r>
        <w:rPr>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[47]</w:t>
      </w:r>
      <w:r>
        <w:t xml:space="preserve">, a setting also studied for noisy user-generated and</w:t>
      </w:r>
      <w:r>
        <w:t xml:space="preserve"> </w:t>
      </w:r>
      <w:r>
        <w:t xml:space="preserve">conversational text</w:t>
      </w:r>
      <w:r>
        <w:rPr>
          <w:vertAlign w:val="superscript"/>
        </w:rPr>
        <w:t xml:space="preserve">[48,49]</w:t>
      </w:r>
      <w:r>
        <w:t xml:space="preserve">; comparing text content through a question-answering</w:t>
      </w:r>
      <w:r>
        <w:t xml:space="preserve"> </w:t>
      </w:r>
      <w:r>
        <w:t xml:space="preserve">lens</w:t>
      </w:r>
      <w:r>
        <w:rPr>
          <w:vertAlign w:val="superscript"/>
        </w:rPr>
        <w:t xml:space="preserve">[50]</w:t>
      </w:r>
      <w:r>
        <w:t xml:space="preserve">, as in QA- and NLI-based consistency checking</w:t>
      </w:r>
      <w:r>
        <w:rPr>
          <w:vertAlign w:val="superscript"/>
        </w:rPr>
        <w:t xml:space="preserve">[51,52,53]</w:t>
      </w:r>
      <w:r>
        <w:t xml:space="preserve">;</w:t>
      </w:r>
      <w:r>
        <w:t xml:space="preserve"> </w:t>
      </w:r>
      <w:r>
        <w:t xml:space="preserve">extracting critical information from noisy transcribed communications</w:t>
      </w:r>
      <w:r>
        <w:rPr>
          <w:vertAlign w:val="superscript"/>
        </w:rPr>
        <w:t xml:space="preserve">[54]</w:t>
      </w:r>
      <w:r>
        <w:t xml:space="preserve">, paralleling</w:t>
      </w:r>
      <w:r>
        <w:t xml:space="preserve"> </w:t>
      </w:r>
      <w:r>
        <w:t xml:space="preserve">slot-filling from air-traffic and other radio speech</w:t>
      </w:r>
      <w:r>
        <w:rPr>
          <w:vertAlign w:val="superscript"/>
        </w:rPr>
        <w:t xml:space="preserve">[55,56]</w:t>
      </w:r>
      <w:r>
        <w:t xml:space="preserve">; and measuring the</w:t>
      </w:r>
      <w:r>
        <w:t xml:space="preserve"> </w:t>
      </w:r>
      <w:r>
        <w:t xml:space="preserve">efficiency of diagnostic questioning</w:t>
      </w:r>
      <w:r>
        <w:rPr>
          <w:vertAlign w:val="superscript"/>
        </w:rPr>
        <w:t xml:space="preserve">[57]</w:t>
      </w:r>
      <w:r>
        <w:t xml:space="preserve">, a problem with a deep line in symptom-</w:t>
      </w:r>
      <w:r>
        <w:t xml:space="preserve"> </w:t>
      </w:r>
      <w:r>
        <w:t xml:space="preserve">checking and information-seeking clinical dialogue</w:t>
      </w:r>
      <w:r>
        <w:rPr>
          <w:vertAlign w:val="superscript"/>
        </w:rPr>
        <w:t xml:space="preserve">[58,59,60,61]</w:t>
      </w:r>
      <w:r>
        <w:t xml:space="preserve">. Even aspect-based</w:t>
      </w:r>
      <w:r>
        <w:t xml:space="preserve"> </w:t>
      </w:r>
      <w:r>
        <w:t xml:space="preserve">sentiment, developed as a controlled synthetic benchmark in the education domain</w:t>
      </w:r>
      <w:r>
        <w:rPr>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 [54], [47], [48], [49], [55], [56], [64], [44]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[51], [52], [65], [26], [66]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[57], [69], [58], [59], [60], [61]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 [70], [51], [52], [53]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 [21], [72], [73], [74]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 [77], [78], [79], [80], [81], [82], [83], [84], [85], [35], [86], [37], [38]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[87], [76], [62], [88], [89], [90], [91], [92]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[34], [68], [22], [46], [41], [64], [93], [94], [44], [95], [96], [97]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[35,86,37]</w:t>
      </w:r>
      <w:r>
        <w:t xml:space="preserve"> </w:t>
      </w:r>
      <w:r>
        <w:t xml:space="preserve">and generates synthetic dialogue from notes for</w:t>
      </w:r>
      <w:r>
        <w:t xml:space="preserve"> </w:t>
      </w:r>
      <w:r>
        <w:t xml:space="preserve">ambient scribing</w:t>
      </w:r>
      <w:r>
        <w:rPr>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[73]</w:t>
      </w:r>
      <w:r>
        <w:t xml:space="preserve">, and as a triage and routing</w:t>
      </w:r>
      <w:r>
        <w:t xml:space="preserve"> </w:t>
      </w:r>
      <w:r>
        <w:t xml:space="preserve">problem</w:t>
      </w:r>
      <w:r>
        <w:rPr>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[36]</w:t>
      </w:r>
      <w:r>
        <w:t xml:space="preserve">, dispatch</w:t>
      </w:r>
      <w:r>
        <w:t xml:space="preserve"> </w:t>
      </w:r>
      <w:r>
        <w:t xml:space="preserve">simulation</w:t>
      </w:r>
      <w:r>
        <w:rPr>
          <w:vertAlign w:val="superscript"/>
        </w:rPr>
        <w:t xml:space="preserve">[101]</w:t>
      </w:r>
      <w:r>
        <w:t xml:space="preserve">, and LLM-generated handoff notes</w:t>
      </w:r>
      <w:r>
        <w:rPr>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[93]</w:t>
      </w:r>
      <w:r>
        <w:t xml:space="preserve"> </w:t>
      </w:r>
      <w:r>
        <w:t xml:space="preserve">and that differentially private</w:t>
      </w:r>
      <w:r>
        <w:t xml:space="preserve"> </w:t>
      </w:r>
      <w:r>
        <w:t xml:space="preserve">generators are still being adapted to specialist clinical text</w:t>
      </w:r>
      <w:r>
        <w:rPr>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[35]</w:t>
      </w:r>
      <w:r>
        <w:t xml:space="preserve">, safety-focused</w:t>
      </w:r>
      <w:r>
        <w:t xml:space="preserve"> </w:t>
      </w:r>
      <w:r>
        <w:t xml:space="preserve">simulation-and-evaluation frameworks</w:t>
      </w:r>
      <w:r>
        <w:rPr>
          <w:vertAlign w:val="superscript"/>
        </w:rPr>
        <w:t xml:space="preserve">[103]</w:t>
      </w:r>
      <w:r>
        <w:t xml:space="preserve">, and multimodal clinical-agent</w:t>
      </w:r>
      <w:r>
        <w:t xml:space="preserve"> </w:t>
      </w:r>
      <w:r>
        <w:t xml:space="preserve">benchmarks</w:t>
      </w:r>
      <w:r>
        <w:rPr>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[93]</w:t>
      </w:r>
      <w:r>
        <w:t xml:space="preserve">, fidelity</w:t>
      </w:r>
      <w:r>
        <w:t xml:space="preserve"> </w:t>
      </w:r>
      <w:r>
        <w:t xml:space="preserve">and diversity metrics are under active and critical revision</w:t>
      </w:r>
      <w:r>
        <w:rPr>
          <w:vertAlign w:val="superscript"/>
        </w:rPr>
        <w:t xml:space="preserve">[95,96]</w:t>
      </w:r>
      <w:r>
        <w:t xml:space="preserve">, and</w:t>
      </w:r>
      <w:r>
        <w:t xml:space="preserve"> </w:t>
      </w:r>
      <w:r>
        <w:t xml:space="preserve">differentially private generators still contend with specialist clinical distributions</w:t>
      </w:r>
      <w:r>
        <w:rPr>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[107]</w:t>
      </w:r>
      <w:r>
        <w:t xml:space="preserve">; shared, communication-specific fidelity benchmarks, including</w:t>
      </w:r>
      <w:r>
        <w:t xml:space="preserve"> </w:t>
      </w:r>
      <w:r>
        <w:t xml:space="preserve">rubric-scored and OSCE-style stations</w:t>
      </w:r>
      <w:r>
        <w:rPr>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The Joint Commission. Sentinel Event Data Summary (annual root-cause reports). Oakbrook Terrace, IL.</w:t>
      </w:r>
      <w: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CRICO Strategies. Malpractice Risks in Communication Failures: 2015 Annual Benchmarking Report. Cambridge, MA, 2015.</w:t>
      </w:r>
      <w: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9">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N. Barman. Symptom2Disease. Kaggle dataset, 2023.</w:t>
      </w:r>
      <w:r>
        <w:t xml:space="preserve"> </w:t>
      </w:r>
      <w:hyperlink r:id="rId70">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bookmarkEnd w:id="71"/>
    <w:bookmarkEnd w:id="72"/>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0"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0"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2026-08-09T10:48:10Z</dcterms:created>
  <dcterms:modified xsi:type="dcterms:W3CDTF">2026-08-09T10:48:10Z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