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as a framework rather than a diagram, the pipeline exposes six decision dimensions, each of which forces</w:t>
      </w:r>
      <w:r>
        <w:t xml:space="preserve"> </w:t>
      </w:r>
      <w:r>
        <w:t xml:space="preserve">a concrete design choice: (i) </w:t>
      </w:r>
      <w:r>
        <w:rPr>
          <w:b/>
          <w:bCs/>
        </w:rPr>
        <w:t xml:space="preserve">source grounding</w:t>
      </w:r>
      <w:r>
        <w:t xml:space="preserve">, how tightly generation is tied to real records,</w:t>
      </w:r>
      <w:r>
        <w:t xml:space="preserve"> </w:t>
      </w:r>
      <w:r>
        <w:t xml:space="preserve">labels, or scenarios, which sets the ceiling on factual fidelity (Section 2.2); (ii) </w:t>
      </w:r>
      <w:r>
        <w:rPr>
          <w:b/>
          <w:bCs/>
        </w:rPr>
        <w:t xml:space="preserve">communication</w:t>
      </w:r>
      <w:r>
        <w:rPr>
          <w:b/>
          <w:bCs/>
        </w:rPr>
        <w:t xml:space="preserve"> </w:t>
      </w:r>
      <w:r>
        <w:rPr>
          <w:b/>
          <w:bCs/>
        </w:rPr>
        <w:t xml:space="preserve">channel</w:t>
      </w:r>
      <w:r>
        <w:t xml:space="preserve">, which fixes the participants, register, and failure modes to reproduce (Section 2.1);</w:t>
      </w:r>
      <w:r>
        <w:t xml:space="preserve"> </w:t>
      </w:r>
      <w:r>
        <w:t xml:space="preserve">(iii) </w:t>
      </w:r>
      <w:r>
        <w:rPr>
          <w:b/>
          <w:bCs/>
        </w:rPr>
        <w:t xml:space="preserve">controlled communication properties</w:t>
      </w:r>
      <w:r>
        <w:t xml:space="preserve">, the role, intent, uncertainty, missingness, style, and</w:t>
      </w:r>
      <w:r>
        <w:t xml:space="preserve"> </w:t>
      </w:r>
      <w:r>
        <w:t xml:space="preserve">noise deliberately injected (Section 2.2); (iv) </w:t>
      </w:r>
      <w:r>
        <w:rPr>
          <w:b/>
          <w:bCs/>
        </w:rPr>
        <w:t xml:space="preserve">generation strategy</w:t>
      </w:r>
      <w:r>
        <w:t xml:space="preserve">, from single-shot</w:t>
      </w:r>
      <w:r>
        <w:t xml:space="preserve"> </w:t>
      </w:r>
      <w:r>
        <w:t xml:space="preserve">prompting to multi-agent simulation and audio-plus-ASR degradation, traded against cost and diversity;</w:t>
      </w:r>
      <w:r>
        <w:t xml:space="preserve"> </w:t>
      </w:r>
      <w:r>
        <w:t xml:space="preserve">(v) </w:t>
      </w:r>
      <w:r>
        <w:rPr>
          <w:b/>
          <w:bCs/>
        </w:rPr>
        <w:t xml:space="preserve">downstream task</w:t>
      </w:r>
      <w:r>
        <w:t xml:space="preserve">, training, augmentation, or evaluation, which determines what labels the</w:t>
      </w:r>
      <w:r>
        <w:t xml:space="preserve"> </w:t>
      </w:r>
      <w:r>
        <w:t xml:space="preserve">generator must carry; and (vi) </w:t>
      </w:r>
      <w:r>
        <w:rPr>
          <w:b/>
          <w:bCs/>
        </w:rPr>
        <w:t xml:space="preserve">evaluation regime</w:t>
      </w:r>
      <w:r>
        <w:t xml:space="preserve">,</w:t>
      </w:r>
      <w:r>
        <w:t xml:space="preserve"> </w:t>
      </w:r>
      <w:r>
        <w:rPr>
          <w:i/>
          <w:iCs/>
        </w:rPr>
        <w:t xml:space="preserve">S→S</w:t>
      </w:r>
      <w:r>
        <w:t xml:space="preserve">,</w:t>
      </w:r>
      <w:r>
        <w:t xml:space="preserve"> </w:t>
      </w:r>
      <w:r>
        <w:rPr>
          <w:i/>
          <w:iCs/>
        </w:rPr>
        <w:t xml:space="preserve">R+S→R</w:t>
      </w:r>
      <w:r>
        <w:t xml:space="preserve">, or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(Section 2.3), which decides how far a result can be trusted. The ten application studies</w:t>
      </w:r>
      <w:r>
        <w:t xml:space="preserve"> </w:t>
      </w:r>
      <w:r>
        <w:t xml:space="preserve">(Section 3) are points in this space; the choices they share are distilled into the reusable design</w:t>
      </w:r>
      <w:r>
        <w:t xml:space="preserve"> </w:t>
      </w:r>
      <w:r>
        <w:t xml:space="preserve">patterns of Table 18 and the channel recipe at the end of Section 2.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keyword searches of Google Scholar, arXiv, PubMed/MEDLINE, and the ACL Anthology,</w:t>
      </w:r>
      <w:r>
        <w:t xml:space="preserve"> </w:t>
      </w:r>
      <w:r>
        <w:t xml:space="preserve">supplemented by forward and backward citation tracing (snowballing) and by browsing recent issues of the</w:t>
      </w:r>
      <w:r>
        <w:t xml:space="preserve"> </w:t>
      </w:r>
      <w:r>
        <w:t xml:space="preserve">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This process is deliberately non-exhaustive: coverage reflects</w:t>
      </w:r>
      <w:r>
        <w:t xml:space="preserve"> </w:t>
      </w:r>
      <w:r>
        <w:t xml:space="preserve">targeted search rather than a preregistered protocol, so where Section 2.4 counts works by task, those are</w:t>
      </w:r>
      <w:r>
        <w:t xml:space="preserve"> </w:t>
      </w:r>
      <w:r>
        <w:t xml:space="preserve">counts within the reviewed set, indicating relative attention among the papers surveyed rather than field-wide</w:t>
      </w:r>
      <w:r>
        <w:t xml:space="preserve"> </w:t>
      </w:r>
      <w:r>
        <w:t xml:space="preserve">prevalence.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 within the reviewed corpus (a targeted, non-exhaustive set rather than a</w:t>
      </w:r>
      <w:r>
        <w:t xml:space="preserve"> </w:t>
      </w:r>
      <w:r>
        <w:t xml:space="preserve">census), attention concentrates in patient simulation and professional training (fourteen works),</w:t>
      </w:r>
      <w:r>
        <w:t xml:space="preserve"> </w:t>
      </w:r>
      <w:r>
        <w:t xml:space="preserve">summarization (ten), and information extraction and benchmark construction (nine each), with privacy,</w:t>
      </w:r>
      <w:r>
        <w:t xml:space="preserve"> </w:t>
      </w:r>
      <w:r>
        <w:t xml:space="preserve">augmentation, and distillation cutting across (twelve); triage and routing, clinical coding, and handoff are</w:t>
      </w:r>
      <w:r>
        <w:t xml:space="preserve"> </w:t>
      </w:r>
      <w:r>
        <w:t xml:space="preserve">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it; nine train a downstream model on the synthetic communication, while the adaptive diagnostic-questioning</w:t>
      </w:r>
      <w:r>
        <w:t xml:space="preserve"> </w:t>
      </w:r>
      <w:r>
        <w:t xml:space="preserve">study (Section 3.1.2) uses it as an evaluation testbed rather than for training.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69">
        <w:r>
          <w:rPr>
            <w:rStyle w:val="Hyperlink"/>
          </w:rPr>
          <w:t xml:space="preserve">doi:10.1007/s41666-026-00229-9</w:t>
        </w:r>
      </w:hyperlink>
    </w:p>
    <w:bookmarkEnd w:id="70"/>
    <w:bookmarkEnd w:id="7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2026-08-09T08:06:31Z</dcterms:created>
  <dcterms:modified xsi:type="dcterms:W3CDTF">2026-08-09T08:06:31Z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