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both"/>
        <w:keepNext w:val="0"/>
        <w:keepLines w:val="0"/>
        <w:widowControl w:val="1"/>
      </w:pPr>
      <w:r>
        <w:t xml:space="preserve">Download</w:t>
      </w:r>
      <w:r>
        <w:t xml:space="preserve"> </w:t>
      </w:r>
      <w:hyperlink r:id="rId9">
        <w:r>
          <w:rPr>
            <w:rStyle w:val="Hyperlink"/>
          </w:rPr>
          <w:t xml:space="preserve">PDF · 1-col</w:t>
        </w:r>
      </w:hyperlink>
      <w:r>
        <w:t xml:space="preserve"> </w:t>
      </w:r>
      <w:hyperlink r:id="rId10">
        <w:r>
          <w:rPr>
            <w:rStyle w:val="Hyperlink"/>
          </w:rPr>
          <w:t xml:space="preserve">PDF · 2-col</w:t>
        </w:r>
      </w:hyperlink>
      <w:r>
        <w:t xml:space="preserve"> </w:t>
      </w:r>
      <w:hyperlink r:id="rId11">
        <w:r>
          <w:rPr>
            <w:rStyle w:val="Hyperlink"/>
          </w:rPr>
          <w:t xml:space="preserve">Word · 1-col</w:t>
        </w:r>
      </w:hyperlink>
      <w:r>
        <w:t xml:space="preserve"> </w:t>
      </w:r>
      <w:hyperlink r:id="rId12">
        <w:r>
          <w:rPr>
            <w:rStyle w:val="Hyperlink"/>
          </w:rPr>
          <w:t xml:space="preserve">Word · 2-col</w:t>
        </w:r>
      </w:hyperlink>
    </w:p>
    <w:bookmarkStart w:id="73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2"/>
        </w:rPr>
        <w:t xml:space="preserve">Alexander Apartsin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2"/>
        </w:rPr>
        <w:t xml:space="preserve">   Yehudit Aperstein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nurse handoffs, and</w:t>
      </w:r>
      <w:r>
        <w:t xml:space="preserve"> </w:t>
      </w:r>
      <w:r>
        <w:t xml:space="preserve">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central limitation is</w:t>
      </w:r>
      <w:r>
        <w:t xml:space="preserve"> </w:t>
      </w:r>
      <w:r>
        <w:t xml:space="preserve">that most studies evaluate on held-out synthetic communication, with train-on-synthetic,</w:t>
      </w:r>
      <w:r>
        <w:t xml:space="preserve"> </w:t>
      </w:r>
      <w:r>
        <w:t xml:space="preserve">test-on-authentic evidence still accumulating.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spacing w:before="0" w:after="0" w:line="76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footerReference w:type="default" r:id="rId14"/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16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94529"/>
            <wp:effectExtent b="0" l="0" r="0" t="0"/>
            <wp:docPr descr="Four-stage pipeline: clinical sources, LLM generation with controlled properties, synthetic clinical communication across channels, and downstream NLP evaluated by regime" title="" id="14" name="Picture"/>
            <a:graphic>
              <a:graphicData uri="http://schemas.openxmlformats.org/drawingml/2006/picture">
                <pic:pic>
                  <pic:nvPicPr>
                    <pic:cNvPr descr="figures/fig0_landscap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9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6"/>
    <w:bookmarkStart w:id="28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20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7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7"/>
    <w:bookmarkStart w:id="18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8"/>
    <w:bookmarkStart w:id="19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9"/>
    <w:bookmarkEnd w:id="20"/>
    <w:bookmarkStart w:id="25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21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21"/>
    <w:bookmarkStart w:id="22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22"/>
    <w:bookmarkStart w:id="23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23"/>
    <w:bookmarkStart w:id="24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4"/>
    <w:bookmarkEnd w:id="25"/>
    <w:bookmarkStart w:id="26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reports results on</w:t>
      </w:r>
      <w:r>
        <w:t xml:space="preserve"> </w:t>
      </w:r>
      <w:r>
        <w:t xml:space="preserve">authentic patient-authored text; of the nine,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6"/>
    <w:bookmarkStart w:id="27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7"/>
    <w:bookmarkEnd w:id="28"/>
    <w:bookmarkStart w:id="57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Table 7 summarizes all ten studies.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32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9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9"/>
    <w:bookmarkStart w:id="30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0"/>
    <w:bookmarkStart w:id="31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1"/>
    <w:bookmarkEnd w:id="32"/>
    <w:bookmarkStart w:id="47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6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89826"/>
            <wp:effectExtent b="0" l="0" r="0" t="0"/>
            <wp:docPr descr="Portal-message triage results summary" title="" id="34" name="Picture"/>
            <a:graphic>
              <a:graphicData uri="http://schemas.openxmlformats.org/drawingml/2006/picture">
                <pic:pic>
                  <pic:nvPicPr>
                    <pic:cNvPr descr="figures/fig2_portal_triag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6"/>
    <w:bookmarkStart w:id="40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2984601" cy="2345537"/>
            <wp:effectExtent b="0" l="0" r="0" t="0"/>
            <wp:docPr descr="Postpartum severity-triage confusion matrix" title="" id="38" name="Picture"/>
            <a:graphic>
              <a:graphicData uri="http://schemas.openxmlformats.org/drawingml/2006/picture">
                <pic:pic>
                  <pic:nvPicPr>
                    <pic:cNvPr descr="figures/fig3_csection_confus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601" cy="2345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40"/>
    <w:bookmarkStart w:id="41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1"/>
    <w:bookmarkStart w:id="42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2"/>
    <w:bookmarkStart w:id="46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174919"/>
            <wp:effectExtent b="0" l="0" r="0" t="0"/>
            <wp:docPr descr="Per-class recall of top fusion models" title="" id="44" name="Picture"/>
            <a:graphic>
              <a:graphicData uri="http://schemas.openxmlformats.org/drawingml/2006/picture">
                <pic:pic>
                  <pic:nvPicPr>
                    <pic:cNvPr descr="figures/fig4_homecare_recall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17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6"/>
    <w:bookmarkEnd w:id="47"/>
    <w:bookmarkStart w:id="56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51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9" name="Picture"/>
            <a:graphic>
              <a:graphicData uri="http://schemas.openxmlformats.org/drawingml/2006/picture">
                <pic:pic>
                  <pic:nvPicPr>
                    <pic:cNvPr descr="figures/fig5_medalert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1"/>
    <w:bookmarkStart w:id="55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102096" cy="3712464"/>
            <wp:effectExtent b="0" l="0" r="0" t="0"/>
            <wp:docPr descr="SBAR class macro-F1 comparison" title="" id="53" name="Picture"/>
            <a:graphic>
              <a:graphicData uri="http://schemas.openxmlformats.org/drawingml/2006/picture">
                <pic:pic>
                  <pic:nvPicPr>
                    <pic:cNvPr descr="figures/fig7_sbar_macrof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096" cy="371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5"/>
    <w:bookmarkEnd w:id="56"/>
    <w:bookmarkEnd w:id="57"/>
    <w:bookmarkStart w:id="62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8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8"/>
    <w:bookmarkStart w:id="59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</w:t>
      </w:r>
    </w:p>
    <w:bookmarkEnd w:id="59"/>
    <w:bookmarkStart w:id="60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60"/>
    <w:bookmarkStart w:id="61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is narrative rather than systematic, so its coverage reflects</w:t>
      </w:r>
      <w:r>
        <w:t xml:space="preserve"> </w:t>
      </w:r>
      <w:r>
        <w:t xml:space="preserve">targeted search and citation tracing rather than an exhaustive protocol, and fast-moving preprint work will</w:t>
      </w:r>
      <w:r>
        <w:t xml:space="preserve"> </w:t>
      </w:r>
      <w:r>
        <w:t xml:space="preserve">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61"/>
    <w:bookmarkEnd w:id="62"/>
    <w:bookmarkStart w:id="63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3"/>
    <w:bookmarkStart w:id="64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17)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18)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one further study grounds generation in real clinical records, tracing EMS routing to MIMIC-IV cases (Section 3.3.1).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4"/>
    <w:bookmarkStart w:id="66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5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6"/>
    <w:bookmarkStart w:id="67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7"/>
    <w:bookmarkStart w:id="72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8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9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70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71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72"/>
    <w:bookmarkEnd w:id="73"/>
    <w:sectPr w:rsidR="00FC693F" w:rsidRPr="0006063C" w:rsidSect="00034616">
      <w:type w:val="continuous"/>
      <w:pgSz w:h="15840" w:w="12240"/>
      <w:pgMar w:bottom="1080" w:footer="720" w:gutter="0" w:header="720" w:left="1080" w:right="1080" w:top="1080"/>
      <w:cols w:num="2" w:space="288" w:equalWidth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40" w:lineRule="auto"/>
    </w:pPr>
    <w:rPr>
      <w:rFonts w:ascii="Times New Roman" w:hAnsi="Times New Roman"/>
      <w:b w:val="0"/>
      <w:i w:val="0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40" w:lineRule="auto"/>
      <w:ind w:firstLine="288"/>
      <w:jc w:val="both"/>
    </w:pPr>
    <w:rPr>
      <w:rFonts w:ascii="Times New Roman" w:hAnsi="Times New Roman"/>
      <w:b w:val="0"/>
      <w:i w:val="0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40" w:lineRule="auto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0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0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TableCaption" w:type="paragraph">
    <w:name w:val="Table Caption"/>
    <w:basedOn w:val="BodyText"/>
    <w:pPr>
      <w:keepNext/>
      <w:spacing w:after="60" w:before="24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4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3" Type="http://schemas.openxmlformats.org/officeDocument/2006/relationships/image" Target="media/rId33.png"/><Relationship Id="rId37" Type="http://schemas.openxmlformats.org/officeDocument/2006/relationships/image" Target="media/rId37.png"/><Relationship Id="rId43" Type="http://schemas.openxmlformats.org/officeDocument/2006/relationships/image" Target="media/rId43.png"/><Relationship Id="rId48" Type="http://schemas.openxmlformats.org/officeDocument/2006/relationships/image" Target="media/rId48.png"/><Relationship Id="rId52" Type="http://schemas.openxmlformats.org/officeDocument/2006/relationships/image" Target="media/rId52.png"/><Relationship Id="rId65" Type="http://schemas.openxmlformats.org/officeDocument/2006/relationships/hyperlink" Target="https://doi.org/10.5281/zenodo.21820227" TargetMode="External"/><Relationship Id="rId68" Type="http://schemas.openxmlformats.org/officeDocument/2006/relationships/hyperlink" Target="https://doi.org/10.7910/DVN/CG9X6D" TargetMode="External"/><Relationship Id="rId69" Type="http://schemas.openxmlformats.org/officeDocument/2006/relationships/hyperlink" Target="https://www.candello.com/Insights/Candello-Reports" TargetMode="External"/><Relationship Id="rId70" Type="http://schemas.openxmlformats.org/officeDocument/2006/relationships/hyperlink" Target="https://www.jointcommission.org/resources/sentinel-event/sentinel-event-data-summary/" TargetMode="External"/><Relationship Id="rId71" Type="http://schemas.openxmlformats.org/officeDocument/2006/relationships/hyperlink" Target="https://www.kaggle.com/datasets/niyarrbarman/symptom2disease" TargetMode="External"/><Relationship Id="rId11" Type="http://schemas.openxmlformats.org/officeDocument/2006/relationships/hyperlink" Target="paper-1col.docx" TargetMode="External"/><Relationship Id="rId9" Type="http://schemas.openxmlformats.org/officeDocument/2006/relationships/hyperlink" Target="paper-1col.pdf" TargetMode="External"/><Relationship Id="rId12" Type="http://schemas.openxmlformats.org/officeDocument/2006/relationships/hyperlink" Target="paper-2col.docx" TargetMode="External"/><Relationship Id="rId10" Type="http://schemas.openxmlformats.org/officeDocument/2006/relationships/hyperlink" Target="paper-2col.pdf" TargetMode="External"/><Relationship Id="rId14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doi.org/10.5281/zenodo.21820227" TargetMode="External"/><Relationship Id="rId68" Type="http://schemas.openxmlformats.org/officeDocument/2006/relationships/hyperlink" Target="https://doi.org/10.7910/DVN/CG9X6D" TargetMode="External"/><Relationship Id="rId69" Type="http://schemas.openxmlformats.org/officeDocument/2006/relationships/hyperlink" Target="https://www.candello.com/Insights/Candello-Reports" TargetMode="External"/><Relationship Id="rId70" Type="http://schemas.openxmlformats.org/officeDocument/2006/relationships/hyperlink" Target="https://www.jointcommission.org/resources/sentinel-event/sentinel-event-data-summary/" TargetMode="External"/><Relationship Id="rId71" Type="http://schemas.openxmlformats.org/officeDocument/2006/relationships/hyperlink" Target="https://www.kaggle.com/datasets/niyarrbarman/symptom2disease" TargetMode="External"/><Relationship Id="rId11" Type="http://schemas.openxmlformats.org/officeDocument/2006/relationships/hyperlink" Target="paper-1col.docx" TargetMode="External"/><Relationship Id="rId9" Type="http://schemas.openxmlformats.org/officeDocument/2006/relationships/hyperlink" Target="paper-1col.pdf" TargetMode="External"/><Relationship Id="rId12" Type="http://schemas.openxmlformats.org/officeDocument/2006/relationships/hyperlink" Target="paper-2col.docx" TargetMode="External"/><Relationship Id="rId10" Type="http://schemas.openxmlformats.org/officeDocument/2006/relationships/hyperlink" Target="paper-2col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2026-08-08T04:32:03Z</dcterms:created>
  <dcterms:modified xsi:type="dcterms:W3CDTF">2026-08-08T04:32:03Z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