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bookmarkStart w:id="9" w:name="highlights"/>
    <w:p>
      <w:pPr>
        <w:pStyle w:val="Heading2"/>
        <w:keepNext/>
        <w:keepLines/>
        <w:widowControl w:val="1"/>
      </w:pPr>
      <w:r>
        <w:t xml:space="preserve">Highlights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Synthetic clinical text lets language models be trained where real data is scarce.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 channel taxonomy unifies dialogue, portal, dispatch, and handover communication.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Ten case studies build clinical text systems with no labeled real-world data.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Small fine-tuned models on synthetic text beat large models used without training.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Testing on real communication after synthetic training is the key open problem.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End w:id="9"/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1" name="Picture"/>
            <a:graphic>
              <a:graphicData uri="http://schemas.openxmlformats.org/drawingml/2006/picture">
                <pic:pic>
                  <pic:nvPicPr>
                    <pic:cNvPr descr="figures/fig0_landscap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4"/>
    <w:bookmarkEnd w:id="25"/>
    <w:bookmarkStart w:id="55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8"/>
    <w:bookmarkEnd w:id="29"/>
    <w:bookmarkStart w:id="44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3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1" name="Picture"/>
            <a:graphic>
              <a:graphicData uri="http://schemas.openxmlformats.org/drawingml/2006/picture">
                <pic:pic>
                  <pic:nvPicPr>
                    <pic:cNvPr descr="figures/fig2_portal_tria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3"/>
    <w:bookmarkStart w:id="37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5" name="Picture"/>
            <a:graphic>
              <a:graphicData uri="http://schemas.openxmlformats.org/drawingml/2006/picture">
                <pic:pic>
                  <pic:nvPicPr>
                    <pic:cNvPr descr="figures/fig3_csection_confus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7"/>
    <w:bookmarkStart w:id="38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8"/>
    <w:bookmarkStart w:id="39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9"/>
    <w:bookmarkStart w:id="43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1" name="Picture"/>
            <a:graphic>
              <a:graphicData uri="http://schemas.openxmlformats.org/drawingml/2006/picture">
                <pic:pic>
                  <pic:nvPicPr>
                    <pic:cNvPr descr="figures/fig4_homecare_recal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3"/>
    <w:bookmarkEnd w:id="44"/>
    <w:bookmarkStart w:id="53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8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6" name="Picture"/>
            <a:graphic>
              <a:graphicData uri="http://schemas.openxmlformats.org/drawingml/2006/picture">
                <pic:pic>
                  <pic:nvPicPr>
                    <pic:cNvPr descr="figures/fig5_medalert_macrof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8"/>
    <w:bookmarkStart w:id="52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50" name="Picture"/>
            <a:graphic>
              <a:graphicData uri="http://schemas.openxmlformats.org/drawingml/2006/picture">
                <pic:pic>
                  <pic:nvPicPr>
                    <pic:cNvPr descr="figures/fig7_sbar_macrof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2"/>
    <w:bookmarkEnd w:id="53"/>
    <w:bookmarkStart w:id="54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4"/>
    <w:bookmarkEnd w:id="55"/>
    <w:bookmarkStart w:id="60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6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6"/>
    <w:bookmarkStart w:id="57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7"/>
    <w:bookmarkStart w:id="58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8"/>
    <w:bookmarkStart w:id="59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9"/>
    <w:bookmarkEnd w:id="60"/>
    <w:bookmarkStart w:id="61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1"/>
    <w:bookmarkStart w:id="62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2"/>
    <w:bookmarkStart w:id="64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3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4"/>
    <w:bookmarkStart w:id="65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5"/>
    <w:bookmarkStart w:id="66" w:name="credit-authorship-contribution-statement"/>
    <w:p>
      <w:pPr>
        <w:pStyle w:val="Heading2"/>
        <w:keepNext/>
        <w:keepLines/>
        <w:widowControl w:val="1"/>
      </w:pPr>
      <w:r>
        <w:t xml:space="preserve">CRediT authorship contribution statement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Alexander Apartsin and Yehudit Aperstein contributed equally to this work. Both authors: Conceptualization, Methodology, Software, Writing – original draft, Writing – review &amp; editing, Supervision.</w:t>
      </w:r>
    </w:p>
    <w:bookmarkEnd w:id="66"/>
    <w:bookmarkStart w:id="67" w:name="declaration-of-competing-interest"/>
    <w:p>
      <w:pPr>
        <w:pStyle w:val="Heading2"/>
        <w:keepNext/>
        <w:keepLines/>
        <w:widowControl w:val="1"/>
      </w:pPr>
      <w:r>
        <w:t xml:space="preserve">Declaration of competing interest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67"/>
    <w:bookmarkStart w:id="68" w:name="funding"/>
    <w:p>
      <w:pPr>
        <w:pStyle w:val="Heading2"/>
        <w:keepNext/>
        <w:keepLines/>
        <w:widowControl w:val="1"/>
      </w:pPr>
      <w:r>
        <w:t xml:space="preserve">Funding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research did not receive any specific grant from funding agencies in the public, commercial, or not-for-profit sectors.</w:t>
      </w:r>
    </w:p>
    <w:bookmarkEnd w:id="68"/>
    <w:bookmarkStart w:id="73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9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0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1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2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3"/>
    <w:bookmarkEnd w:id="74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40" Type="http://schemas.openxmlformats.org/officeDocument/2006/relationships/image" Target="media/rId40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doi.org/10.5281/zenodo.21820227" TargetMode="External"/><Relationship Id="rId69" Type="http://schemas.openxmlformats.org/officeDocument/2006/relationships/hyperlink" Target="https://doi.org/10.7910/DVN/CG9X6D" TargetMode="External"/><Relationship Id="rId70" Type="http://schemas.openxmlformats.org/officeDocument/2006/relationships/hyperlink" Target="https://www.candello.com/Insights/Candello-Reports" TargetMode="External"/><Relationship Id="rId71" Type="http://schemas.openxmlformats.org/officeDocument/2006/relationships/hyperlink" Target="https://www.jointcommission.org/resources/sentinel-event/sentinel-event-data-summary/" TargetMode="External"/><Relationship Id="rId72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2026-08-09T05:58:04Z</dcterms:created>
  <dcterms:modified xsi:type="dcterms:W3CDTF">2026-08-09T05:58:04Z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