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thirteen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field-radio casualty</w:t>
      </w:r>
      <w:r>
        <w:t xml:space="preserve"> </w:t>
      </w:r>
      <w:r>
        <w:t xml:space="preserve">documentation, nurse handoffs, patient-portal triage, and low-resource discharge communication,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9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thirteen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</w:t>
      </w:r>
    </w:p>
    <w:bookmarkEnd w:id="9"/>
    <w:bookmarkStart w:id="21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3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0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1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0"/>
    <w:bookmarkStart w:id="11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2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1"/>
    <w:bookmarkStart w:id="12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3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2"/>
    <w:bookmarkEnd w:id="13"/>
    <w:bookmarkStart w:id="18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4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4"/>
    <w:bookmarkStart w:id="15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3.4);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5"/>
    <w:bookmarkStart w:id="16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6"/>
    <w:bookmarkStart w:id="17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17"/>
    <w:bookmarkEnd w:id="18"/>
    <w:bookmarkStart w:id="19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4.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As Section 3 makes explicit, almost all of</w:t>
      </w:r>
      <w:r>
        <w:t xml:space="preserve"> </w:t>
      </w:r>
      <w:r>
        <w:t xml:space="preserve">the application studies surveyed here operate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regime, which is why transfer to</w:t>
      </w:r>
      <w:r>
        <w:t xml:space="preserve"> </w:t>
      </w:r>
      <w:r>
        <w:t xml:space="preserve">authentic communication remains the field's central open question.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19"/>
    <w:bookmarkStart w:id="20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5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communication, with representative references.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Downstream clinical NLP tasks supported by synthetic clinical communication, with representative referenc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decisions, follow-ups, and casualty fields;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[65], and Section 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</w:t>
            </w:r>
          </w:p>
        </w:tc>
      </w:tr>
    </w:tbl>
    <w:bookmarkEnd w:id="20"/>
    <w:bookmarkEnd w:id="21"/>
    <w:bookmarkStart w:id="60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thirteen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Table 6 summarizes all thirteen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Clinical-decision extraction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discharge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(518 summaries)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Reranker strict-F1 0.4273; relaxed-F1 0.9256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Clinical-priority portal triage (3.3.3)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(3k longitudinal)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+ safety cascade 0.997 acc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(3.3.2)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(3.3.4)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(3.3.5)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(3.3.6)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(3.4.1)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Casualty-record reconstruction (3.4.2)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Field casualty radio to hospital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(500, +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79.3% EM / 0.80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(3.4.3)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5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2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degrading least under heavy noise where the Naïve Bayes baseline</w:t>
      </w:r>
      <w:r>
        <w:t xml:space="preserve"> </w:t>
      </w:r>
      <w:r>
        <w:t xml:space="preserve">collapses (Table 7);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2"/>
    <w:bookmarkStart w:id="23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8)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3"/>
    <w:bookmarkStart w:id="24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9).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4"/>
    <w:bookmarkEnd w:id="25"/>
    <w:bookmarkStart w:id="30" w:name="s62"/>
    <w:p>
      <w:pPr>
        <w:pStyle w:val="Heading3"/>
        <w:keepNext/>
        <w:keepLines/>
        <w:widowControl w:val="1"/>
      </w:pPr>
      <w:r>
        <w:t xml:space="preserve">3.2  Doctor-to-Patient Instructions and Care Handover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Here the clinician communicates decisions to the patient and to the next provider, through discharge</w:t>
      </w:r>
      <w:r>
        <w:t xml:space="preserve"> </w:t>
      </w:r>
      <w:r>
        <w:t xml:space="preserve">summaries and follow-up plans; processing this channel matters because those instructions must become</w:t>
      </w:r>
      <w:r>
        <w:t xml:space="preserve"> </w:t>
      </w:r>
      <w:r>
        <w:t xml:space="preserve">scheduled, auditable actions rather than free prose. Discharge and follow-up communication has become an</w:t>
      </w:r>
      <w:r>
        <w:t xml:space="preserve"> </w:t>
      </w:r>
      <w:r>
        <w:t xml:space="preserve">active target, with simulation-and-generation benchmarks</w:t>
      </w:r>
      <w:r>
        <w:rPr>
          <w:vertAlign w:val="superscript"/>
        </w:rPr>
        <w:t xml:space="preserve">[68]</w:t>
      </w:r>
      <w:r>
        <w:t xml:space="preserve"> </w:t>
      </w:r>
      <w:r>
        <w:t xml:space="preserve">and shared tasks on</w:t>
      </w:r>
      <w:r>
        <w:t xml:space="preserve"> </w:t>
      </w:r>
      <w:r>
        <w:t xml:space="preserve">discharge-document generation</w:t>
      </w:r>
      <w:r>
        <w:rPr>
          <w:vertAlign w:val="superscript"/>
        </w:rPr>
        <w:t xml:space="preserve">[69]</w:t>
      </w:r>
      <w:r>
        <w:t xml:space="preserve">. The study below extracts structured decisions from</w:t>
      </w:r>
      <w:r>
        <w:t xml:space="preserve"> </w:t>
      </w:r>
      <w:r>
        <w:t xml:space="preserve">synthetic discharge summaries in a low-resource language.</w:t>
      </w:r>
    </w:p>
    <w:bookmarkStart w:id="29" w:name="X9a81a03a99525fa747acd29ab6db71b5aa03c76"/>
    <w:p>
      <w:pPr>
        <w:pStyle w:val="Heading4"/>
        <w:keepNext/>
        <w:keepLines/>
        <w:widowControl w:val="1"/>
      </w:pPr>
      <w:r>
        <w:t xml:space="preserve">3.2.1  Extracting Clinical Decisions from Hebrew Discharge Summaries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discharge summary is the moment a hospital hands its decisions to the patient and to whoever provides</w:t>
      </w:r>
      <w:r>
        <w:t xml:space="preserve"> </w:t>
      </w:r>
      <w:r>
        <w:t xml:space="preserve">care next, so turning that prose into a structured, auditable record, which drug was started or stopped,</w:t>
      </w:r>
      <w:r>
        <w:t xml:space="preserve"> </w:t>
      </w:r>
      <w:r>
        <w:t xml:space="preserve">which procedure was performed or planned, is a clinically useful extraction task. This study formalizes it</w:t>
      </w:r>
      <w:r>
        <w:t xml:space="preserve"> </w:t>
      </w:r>
      <w:r>
        <w:t xml:space="preserve">as recovering, from each Hebrew summary, a set of four-tuples of verbatim span, decision type, canonical</w:t>
      </w:r>
      <w:r>
        <w:t xml:space="preserve"> </w:t>
      </w:r>
      <w:r>
        <w:t xml:space="preserve">concept, and action. The task has an English analogue, MedDec</w:t>
      </w:r>
      <w:r>
        <w:rPr>
          <w:vertAlign w:val="superscript"/>
        </w:rPr>
        <w:t xml:space="preserve">[106]</w:t>
      </w:r>
      <w:r>
        <w:t xml:space="preserve">, which labels</w:t>
      </w:r>
      <w:r>
        <w:t xml:space="preserve"> </w:t>
      </w:r>
      <w:r>
        <w:t xml:space="preserve">clinical decisions over MIMIC-III discharge summaries, but no Hebrew labeled corpus exists, and Hebrew</w:t>
      </w:r>
      <w:r>
        <w:t xml:space="preserve"> </w:t>
      </w:r>
      <w:r>
        <w:t xml:space="preserve">clinical text is scarce, right-to-left, and heavily code-switched with English drug names, so there is</w:t>
      </w:r>
      <w:r>
        <w:t xml:space="preserve"> </w:t>
      </w:r>
      <w:r>
        <w:t xml:space="preserve">nothing shareable to learn from in this language.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create training data, GPT-4o-mini (Batch API) generates 518 synthetic Hebrew summaries carrying 1,222</w:t>
      </w:r>
      <w:r>
        <w:t xml:space="preserve"> </w:t>
      </w:r>
      <w:r>
        <w:t xml:space="preserve">gold spans, anchored to MedDec- and MIMIC-III-derived clinical targets by marked-span anchoring, with every</w:t>
      </w:r>
      <w:r>
        <w:t xml:space="preserve"> </w:t>
      </w:r>
      <w:r>
        <w:t xml:space="preserve">span validated to appear verbatim in its summary so that the labels are recoverable by construction. Four</w:t>
      </w:r>
      <w:r>
        <w:t xml:space="preserve"> </w:t>
      </w:r>
      <w:r>
        <w:t xml:space="preserve">systems are then compared: an XLM-R BIO tagger, an sklearn candidate reranker, a Gemini candidate selector,</w:t>
      </w:r>
      <w:r>
        <w:t xml:space="preserve"> </w:t>
      </w:r>
      <w:r>
        <w:t xml:space="preserve">and a Qwen2.5-1.5B few-shot baseline (Table 10, Figure 1). The reranker is strongest under strict</w:t>
      </w:r>
      <w:r>
        <w:t xml:space="preserve"> </w:t>
      </w:r>
      <w:r>
        <w:t xml:space="preserve">boundary matching (0.427) and Gemini under relaxed matching (0.926); the wide relaxed-minus-strict gap</w:t>
      </w:r>
      <w:r>
        <w:t xml:space="preserve"> </w:t>
      </w:r>
      <w:r>
        <w:t xml:space="preserve">shows that errors are largely boundary misalignment rather than wrong regions. Because both training and</w:t>
      </w:r>
      <w:r>
        <w:t xml:space="preserve"> </w:t>
      </w:r>
      <w:r>
        <w:t xml:space="preserve">test data are synthetic, transfer to genuine Hebrew notes remains the open question.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 from Hebrew discharge summaries: overall F1 (v2 test, 81 summaries).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Clinical-decision extraction from Hebrew discharge summaries: overall F1 (v2 test, 81 summaries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Strict 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Relaxed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Qwen2.5-1.5B (few-shot)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0.206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XLM-R (BIO)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sklearn reranker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0.427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0.677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Gemini selector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0.318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0.926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522346"/>
            <wp:effectExtent b="0" l="0" r="0" t="0"/>
            <wp:docPr descr="Model comparison for clinical-decision extraction" title="" id="27" name="Picture"/>
            <a:graphic>
              <a:graphicData uri="http://schemas.openxmlformats.org/drawingml/2006/picture">
                <pic:pic>
                  <pic:nvPicPr>
                    <pic:cNvPr descr="figures/fig1_crosslingual_f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extraction: strict versus relaxed F1 across models.</w:t>
      </w:r>
    </w:p>
    <w:bookmarkEnd w:id="29"/>
    <w:bookmarkEnd w:id="30"/>
    <w:bookmarkStart w:id="46" w:name="s63"/>
    <w:p>
      <w:pPr>
        <w:pStyle w:val="Heading3"/>
        <w:keepNext/>
        <w:keepLines/>
        <w:widowControl w:val="1"/>
      </w:pPr>
      <w:r>
        <w:t xml:space="preserve">3.3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4" w:name="X4c70d57689a9bd123de09154f3f9deb67fbd261"/>
    <w:p>
      <w:pPr>
        <w:pStyle w:val="Heading4"/>
        <w:keepNext/>
        <w:keepLines/>
        <w:widowControl w:val="1"/>
      </w:pPr>
      <w:r>
        <w:t xml:space="preserve">3.3.1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[108]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2" name="Picture"/>
            <a:graphic>
              <a:graphicData uri="http://schemas.openxmlformats.org/drawingml/2006/picture">
                <pic:pic>
                  <pic:nvPicPr>
                    <pic:cNvPr descr="figures/fig2_portal_triag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4"/>
    <w:bookmarkStart w:id="38" w:name="severity-triage-of-postpartum-messages"/>
    <w:p>
      <w:pPr>
        <w:pStyle w:val="Heading4"/>
        <w:keepNext/>
        <w:keepLines/>
        <w:widowControl w:val="1"/>
      </w:pPr>
      <w:r>
        <w:t xml:space="preserve">3.3.2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6" name="Picture"/>
            <a:graphic>
              <a:graphicData uri="http://schemas.openxmlformats.org/drawingml/2006/picture">
                <pic:pic>
                  <pic:nvPicPr>
                    <pic:cNvPr descr="figures/fig3_csection_confus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8"/>
    <w:bookmarkStart w:id="39" w:name="X520f61b7cb788da1820b939779dd0cffacbd021"/>
    <w:p>
      <w:pPr>
        <w:pStyle w:val="Heading4"/>
        <w:keepNext/>
        <w:keepLines/>
        <w:widowControl w:val="1"/>
      </w:pPr>
      <w:r>
        <w:t xml:space="preserve">3.3.3  Clinical-Priority Triage of Longitudinal 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a single message, a patient's portal history must be sorted by clinical risk while holding a</w:t>
      </w:r>
      <w:r>
        <w:t xml:space="preserve"> </w:t>
      </w:r>
      <w:r>
        <w:t xml:space="preserve">difficult balance between missed emergencies and alert fatigue. This study frames that as multi-class risk</w:t>
      </w:r>
      <w:r>
        <w:t xml:space="preserve"> </w:t>
      </w:r>
      <w:r>
        <w:t xml:space="preserve">classification over longitudinal message sequences, with an explicit safety objective of never</w:t>
      </w:r>
      <w:r>
        <w:t xml:space="preserve"> </w:t>
      </w:r>
      <w:r>
        <w:t xml:space="preserve">under-triaging an emergency. Existing portal datasets are single-message, and none provide longitudinal</w:t>
      </w:r>
      <w:r>
        <w:t xml:space="preserve"> </w:t>
      </w:r>
      <w:r>
        <w:t xml:space="preserve">per-patient sequences with the multi-system priority criteria involved, so a real corpus is unavailable.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 generates 3,000 longitudinal cases from structured clinical attributes and varied linguistic</w:t>
      </w:r>
      <w:r>
        <w:t xml:space="preserve"> </w:t>
      </w:r>
      <w:r>
        <w:t xml:space="preserve">profiles, deliberately seeding "confidently wrong" edge cases to stress the classifier. Zero-shot LLMs, a</w:t>
      </w:r>
      <w:r>
        <w:t xml:space="preserve"> </w:t>
      </w:r>
      <w:r>
        <w:t xml:space="preserve">fine-tuned DistilBERT, and a Bio_ClinicalBERT baseline are compared against a Bio_ClinicalBERT model wrapped</w:t>
      </w:r>
      <w:r>
        <w:t xml:space="preserve"> </w:t>
      </w:r>
      <w:r>
        <w:t xml:space="preserve">in a conversational safety cascade (Table 13); the cascaded model attains near-perfect accuracy (0.997)</w:t>
      </w:r>
      <w:r>
        <w:t xml:space="preserve"> </w:t>
      </w:r>
      <w:r>
        <w:t xml:space="preserve">with perfect recall on emergencies, far above the alternatives (0.34–0.42 for zero-shot LLMs, 0.828</w:t>
      </w:r>
      <w:r>
        <w:t xml:space="preserve"> </w:t>
      </w:r>
      <w:r>
        <w:t xml:space="preserve">for the plain encoder), which misclassify the high-risk class. The result shows how a safety-oriented layer</w:t>
      </w:r>
      <w:r>
        <w:t xml:space="preserve"> </w:t>
      </w:r>
      <w:r>
        <w:t xml:space="preserve">trained on adversarial synthetic cases strengthens a classifier's handling of the high-risk class in this</w:t>
      </w:r>
      <w:r>
        <w:t xml:space="preserve"> </w:t>
      </w:r>
      <w:r>
        <w:t xml:space="preserve">controlled evaluation.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Clinical-priority triage of portal messages: accuracy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Clinical-priority triage of portal messages: accuracy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Zero-shot Qwen / Mistral-7B / BART-MNLI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0.34–0.42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(baseline)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+ safety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0.997</w:t>
            </w:r>
          </w:p>
        </w:tc>
      </w:tr>
    </w:tbl>
    <w:bookmarkEnd w:id="39"/>
    <w:bookmarkStart w:id="40" w:name="X8723f5f4a831929ea0d7e731d5de347d5e355d1"/>
    <w:p>
      <w:pPr>
        <w:pStyle w:val="Heading4"/>
        <w:keepNext/>
        <w:keepLines/>
        <w:widowControl w:val="1"/>
      </w:pPr>
      <w:r>
        <w:t xml:space="preserve">3.3.4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14).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40"/>
    <w:bookmarkStart w:id="41" w:name="X9e4a77421b8c20f8d39059239d60de8009e90ff"/>
    <w:p>
      <w:pPr>
        <w:pStyle w:val="Heading4"/>
        <w:keepNext/>
        <w:keepLines/>
        <w:widowControl w:val="1"/>
      </w:pPr>
      <w:r>
        <w:t xml:space="preserve">3.3.5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15);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41"/>
    <w:bookmarkStart w:id="45" w:name="X866505a93d30ea0aa48cc2aaff2638a55d83073"/>
    <w:p>
      <w:pPr>
        <w:pStyle w:val="Heading4"/>
        <w:keepNext/>
        <w:keepLines/>
        <w:widowControl w:val="1"/>
      </w:pPr>
      <w:r>
        <w:t xml:space="preserve">3.3.6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3" name="Picture"/>
            <a:graphic>
              <a:graphicData uri="http://schemas.openxmlformats.org/drawingml/2006/picture">
                <pic:pic>
                  <pic:nvPicPr>
                    <pic:cNvPr descr="figures/fig4_homecare_recal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5"/>
    <w:bookmarkEnd w:id="46"/>
    <w:bookmarkStart w:id="59" w:name="s64"/>
    <w:p>
      <w:pPr>
        <w:pStyle w:val="Heading3"/>
        <w:keepNext/>
        <w:keepLines/>
        <w:widowControl w:val="1"/>
      </w:pPr>
      <w:r>
        <w:t xml:space="preserve">3.4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pre-arrival, field casualty radio, and SBAR handover.</w:t>
      </w:r>
    </w:p>
    <w:bookmarkStart w:id="50" w:name="routing-ems-pre-arrival-reports"/>
    <w:p>
      <w:pPr>
        <w:pStyle w:val="Heading4"/>
        <w:keepNext/>
        <w:keepLines/>
        <w:widowControl w:val="1"/>
      </w:pPr>
      <w:r>
        <w:t xml:space="preserve">3.4.1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16,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8" name="Picture"/>
            <a:graphic>
              <a:graphicData uri="http://schemas.openxmlformats.org/drawingml/2006/picture">
                <pic:pic>
                  <pic:nvPicPr>
                    <pic:cNvPr descr="figures/fig5_medalert_macrof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50"/>
    <w:bookmarkStart w:id="54" w:name="Xff7e8eb076cd6934f1148f387c5bb7adf4aa2cd"/>
    <w:p>
      <w:pPr>
        <w:pStyle w:val="Heading4"/>
        <w:keepNext/>
        <w:keepLines/>
        <w:widowControl w:val="1"/>
      </w:pPr>
      <w:r>
        <w:t xml:space="preserve">3.4.2  Reconstructing Casualty Records from Field Radio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On the battlefield only about half of casualty encounters are documented at all, and what reaches a</w:t>
      </w:r>
      <w:r>
        <w:t xml:space="preserve"> </w:t>
      </w:r>
      <w:r>
        <w:t xml:space="preserve">hospital arrives as chaotic radio. This study reconstructs a structured twenty-field casualty record, an</w:t>
      </w:r>
      <w:r>
        <w:t xml:space="preserve"> </w:t>
      </w:r>
      <w:r>
        <w:t xml:space="preserve">IDF Form 101, from that traffic, a multi-field slot-filling task over noisy Hebrew speech transcripts.</w:t>
      </w:r>
      <w:r>
        <w:t xml:space="preserve"> </w:t>
      </w:r>
      <w:r>
        <w:t xml:space="preserve">Because such radio is inherently private, largely unrecorded, and effectively impossible to collect at</w:t>
      </w:r>
      <w:r>
        <w:t xml:space="preserve"> </w:t>
      </w:r>
      <w:r>
        <w:t xml:space="preserve">scale, with no public dataset in this language, real training data does not exist.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GPT-4o, with fifty further samples from GPT-4o-mini, converts structured casualty profiles into 500 messy</w:t>
      </w:r>
      <w:r>
        <w:t xml:space="preserve"> </w:t>
      </w:r>
      <w:r>
        <w:t xml:space="preserve">Hebrew transcripts, injecting static, communication cutouts, slang, and self-corrections at three</w:t>
      </w:r>
      <w:r>
        <w:t xml:space="preserve"> </w:t>
      </w:r>
      <w:r>
        <w:t xml:space="preserve">reliability levels and emitting the ground-truth record alongside each transcript. An AlephBERT multi-head</w:t>
      </w:r>
      <w:r>
        <w:t xml:space="preserve"> </w:t>
      </w:r>
      <w:r>
        <w:t xml:space="preserve">classifier is compared against GPT-4 in zero- and one-shot prompting and a QLoRA-fine-tuned Phi-3-mini</w:t>
      </w:r>
      <w:r>
        <w:t xml:space="preserve"> </w:t>
      </w:r>
      <w:r>
        <w:t xml:space="preserve">(Table 17, Figure 6). The fine-tuned Hebrew encoder leads on exact-match (79.3%) and macro-F1</w:t>
      </w:r>
      <w:r>
        <w:t xml:space="preserve"> </w:t>
      </w:r>
      <w:r>
        <w:t xml:space="preserve">(0.802), while the small fine-tuned Phi-3 produces the fewest hallucinations (7), a property of real value</w:t>
      </w:r>
      <w:r>
        <w:t xml:space="preserve"> </w:t>
      </w:r>
      <w:r>
        <w:t xml:space="preserve">when the output is a casualty record.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 from field radio (synthetic test, n=100).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Casualty-record reconstruction from field radio (synthetic test, n=10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Exact-match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Hallucinations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(multi-head)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79.3%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68.6%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Phi-3-mini (QLoRA)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63.1%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0.632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592105"/>
            <wp:effectExtent b="0" l="0" r="0" t="0"/>
            <wp:docPr descr="Casualty-record reconstruction model comparison" title="" id="52" name="Picture"/>
            <a:graphic>
              <a:graphicData uri="http://schemas.openxmlformats.org/drawingml/2006/picture">
                <pic:pic>
                  <pic:nvPicPr>
                    <pic:cNvPr descr="figures/fig6_casualty_reconstruc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2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reconstruction: accuracy, F1, and hallucination counts.</w:t>
      </w:r>
    </w:p>
    <w:bookmarkEnd w:id="54"/>
    <w:bookmarkStart w:id="58" w:name="completeness-checking-of-sbar-handovers"/>
    <w:p>
      <w:pPr>
        <w:pStyle w:val="Heading4"/>
        <w:keepNext/>
        <w:keepLines/>
        <w:widowControl w:val="1"/>
      </w:pPr>
      <w:r>
        <w:t xml:space="preserve">3.4.3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18, Figure 7).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56" name="Picture"/>
            <a:graphic>
              <a:graphicData uri="http://schemas.openxmlformats.org/drawingml/2006/picture">
                <pic:pic>
                  <pic:nvPicPr>
                    <pic:cNvPr descr="figures/fig7_sbar_macrof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7.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8"/>
    <w:bookmarkEnd w:id="59"/>
    <w:bookmarkEnd w:id="60"/>
    <w:bookmarkStart w:id="64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61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underperforms on</w:t>
      </w:r>
      <w:r>
        <w:t xml:space="preserve"> </w:t>
      </w:r>
      <w:r>
        <w:t xml:space="preserve">real text in ways that held-out synthetic evaluation cannot detect.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demonstrably imperfect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61"/>
    <w:bookmarkStart w:id="62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hurdles. Regulatory acceptance is immature: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address only imperfectly on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is fragile: results depend on the exact generator, prompt, sampling</w:t>
      </w:r>
      <w:r>
        <w:t xml:space="preserve"> </w:t>
      </w:r>
      <w:r>
        <w:t xml:space="preserve">temperature, and filtering pipeline, few of which are reported in enough detail to reconstruct, so studies</w:t>
      </w:r>
      <w:r>
        <w:t xml:space="preserve"> </w:t>
      </w:r>
      <w:r>
        <w:t xml:space="preserve">that appear comparable may not be comparable at all.</w:t>
      </w:r>
    </w:p>
    <w:bookmarkEnd w:id="62"/>
    <w:bookmarkStart w:id="63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63"/>
    <w:bookmarkEnd w:id="64"/>
    <w:bookmarkStart w:id="65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5"/>
    <w:bookmarkStart w:id="66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thirteen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yield a consistent picture. In several classification and extraction</w:t>
      </w:r>
      <w:r>
        <w:t xml:space="preserve"> </w:t>
      </w:r>
      <w:r>
        <w:t xml:space="preserve">studies, fine-tuned encoder models outperformed the evaluated zero-shot baselines on held-out synthetic</w:t>
      </w:r>
      <w:r>
        <w:t xml:space="preserve"> </w:t>
      </w:r>
      <w:r>
        <w:t xml:space="preserve">communication; deliberately degraded, noisy</w:t>
      </w:r>
      <w:r>
        <w:t xml:space="preserve"> </w:t>
      </w:r>
      <w:r>
        <w:t xml:space="preserve">synthetic communication improves robustness rather than harming it; labels fixed at generation time and</w:t>
      </w:r>
      <w:r>
        <w:t xml:space="preserve"> </w:t>
      </w:r>
      <w:r>
        <w:t xml:space="preserve">audited by an independent judge deliver both control and quality; and local, on-premises generators can</w:t>
      </w:r>
      <w:r>
        <w:t xml:space="preserve"> </w:t>
      </w:r>
      <w:r>
        <w:t xml:space="preserve">bootstrap usable datasets without exposing any real data. These are encouraging and reusable design</w:t>
      </w:r>
      <w:r>
        <w:t xml:space="preserve"> </w:t>
      </w:r>
      <w:r>
        <w:t xml:space="preserve">lessons, not one-off results.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They come, however, with an unmistakable caveat. Almost every study evaluates on held-out synthetic data.</w:t>
      </w:r>
      <w:r>
        <w:t xml:space="preserve"> </w:t>
      </w:r>
      <w:r>
        <w:t xml:space="preserve">The clearest exception is the medication-question study (Section 3.3.5),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two further studies ground generation in real clinical records, tracing decision extraction to</w:t>
      </w:r>
      <w:r>
        <w:t xml:space="preserve"> </w:t>
      </w:r>
      <w:r>
        <w:t xml:space="preserve">MedDec and MIMIC-III annotations (Section 3.2.1) and EMS routing to MIMIC-IV cases (Section 3.4.1).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still largely outstanding. Closing that gap,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6"/>
    <w:bookmarkStart w:id="68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thirteen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7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8"/>
    <w:bookmarkStart w:id="69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9"/>
    <w:bookmarkStart w:id="74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70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S. Nayak et al.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1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2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3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Y. Elhalimi et al. MedDec: A Dataset for Extracting Clinical Decisions from Discharge Summaries.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/ PhysioNet,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bookmarkEnd w:id="74"/>
    <w:bookmarkEnd w:id="75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2" Type="http://schemas.openxmlformats.org/officeDocument/2006/relationships/image" Target="media/rId42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67" Type="http://schemas.openxmlformats.org/officeDocument/2006/relationships/hyperlink" Target="https://doi.org/10.5281/zenodo.21820227" TargetMode="External"/><Relationship Id="rId70" Type="http://schemas.openxmlformats.org/officeDocument/2006/relationships/hyperlink" Target="https://doi.org/10.7910/DVN/CG9X6D" TargetMode="External"/><Relationship Id="rId71" Type="http://schemas.openxmlformats.org/officeDocument/2006/relationships/hyperlink" Target="https://www.candello.com/Insights/Candello-Reports" TargetMode="External"/><Relationship Id="rId72" Type="http://schemas.openxmlformats.org/officeDocument/2006/relationships/hyperlink" Target="https://www.jointcommission.org/resources/sentinel-event/sentinel-event-data-summary/" TargetMode="External"/><Relationship Id="rId73" Type="http://schemas.openxmlformats.org/officeDocument/2006/relationships/hyperlink" Target="https://www.kaggle.com/datasets/niyarrbarman/symptom2disease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5281/zenodo.21820227" TargetMode="External"/><Relationship Id="rId70" Type="http://schemas.openxmlformats.org/officeDocument/2006/relationships/hyperlink" Target="https://doi.org/10.7910/DVN/CG9X6D" TargetMode="External"/><Relationship Id="rId71" Type="http://schemas.openxmlformats.org/officeDocument/2006/relationships/hyperlink" Target="https://www.candello.com/Insights/Candello-Reports" TargetMode="External"/><Relationship Id="rId72" Type="http://schemas.openxmlformats.org/officeDocument/2006/relationships/hyperlink" Target="https://www.jointcommission.org/resources/sentinel-event/sentinel-event-data-summary/" TargetMode="External"/><Relationship Id="rId73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2026-08-06T08:53:58Z</dcterms:created>
  <dcterms:modified xsi:type="dcterms:W3CDTF">2026-08-06T08:53:58Z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