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9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9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</w:t>
      </w:r>
    </w:p>
    <w:bookmarkEnd w:id="9"/>
    <w:bookmarkStart w:id="21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3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0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1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0"/>
    <w:bookmarkStart w:id="11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2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1"/>
    <w:bookmarkStart w:id="12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3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End w:id="13"/>
    <w:bookmarkStart w:id="18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4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4"/>
    <w:bookmarkStart w:id="15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5"/>
    <w:bookmarkStart w:id="16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6"/>
    <w:bookmarkStart w:id="17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17"/>
    <w:bookmarkEnd w:id="18"/>
    <w:bookmarkStart w:id="19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4.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As Section 3 makes explicit, almost all of</w:t>
      </w:r>
      <w:r>
        <w:t xml:space="preserve"> </w:t>
      </w:r>
      <w:r>
        <w:t xml:space="preserve">the application studies surveyed here operate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regime, which is why transfer to</w:t>
      </w:r>
      <w:r>
        <w:t xml:space="preserve"> </w:t>
      </w:r>
      <w:r>
        <w:t xml:space="preserve">authentic communication remains the field's central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19"/>
    <w:bookmarkStart w:id="20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5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communication, with representative references.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Downstream clinical NLP tasks supported by synthetic clinical communication, with representative referenc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[65], and Section 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0"/>
    <w:bookmarkEnd w:id="21"/>
    <w:bookmarkStart w:id="60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Table 6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5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2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7);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2"/>
    <w:bookmarkStart w:id="23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8)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3"/>
    <w:bookmarkStart w:id="24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9).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4"/>
    <w:bookmarkEnd w:id="25"/>
    <w:bookmarkStart w:id="30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29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10,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27" name="Picture"/>
            <a:graphic>
              <a:graphicData uri="http://schemas.openxmlformats.org/drawingml/2006/picture">
                <pic:pic>
                  <pic:nvPicPr>
                    <pic:cNvPr descr="figures/fig1_crosslingual_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9"/>
    <w:bookmarkEnd w:id="30"/>
    <w:bookmarkStart w:id="46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4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2" name="Picture"/>
            <a:graphic>
              <a:graphicData uri="http://schemas.openxmlformats.org/drawingml/2006/picture">
                <pic:pic>
                  <pic:nvPicPr>
                    <pic:cNvPr descr="figures/fig2_portal_triag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4"/>
    <w:bookmarkStart w:id="38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6" name="Picture"/>
            <a:graphic>
              <a:graphicData uri="http://schemas.openxmlformats.org/drawingml/2006/picture">
                <pic:pic>
                  <pic:nvPicPr>
                    <pic:cNvPr descr="figures/fig3_csection_confus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8"/>
    <w:bookmarkStart w:id="39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13);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9"/>
    <w:bookmarkStart w:id="40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14).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0"/>
    <w:bookmarkStart w:id="41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15);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1"/>
    <w:bookmarkStart w:id="45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3" name="Picture"/>
            <a:graphic>
              <a:graphicData uri="http://schemas.openxmlformats.org/drawingml/2006/picture">
                <pic:pic>
                  <pic:nvPicPr>
                    <pic:cNvPr descr="figures/fig4_homecare_recal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5"/>
    <w:bookmarkEnd w:id="46"/>
    <w:bookmarkStart w:id="59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0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16,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8" name="Picture"/>
            <a:graphic>
              <a:graphicData uri="http://schemas.openxmlformats.org/drawingml/2006/picture">
                <pic:pic>
                  <pic:nvPicPr>
                    <pic:cNvPr descr="figures/fig5_medalert_macrof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0"/>
    <w:bookmarkStart w:id="54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17,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2" name="Picture"/>
            <a:graphic>
              <a:graphicData uri="http://schemas.openxmlformats.org/drawingml/2006/picture">
                <pic:pic>
                  <pic:nvPicPr>
                    <pic:cNvPr descr="figures/fig6_casualty_reconstru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4"/>
    <w:bookmarkStart w:id="58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18,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56" name="Picture"/>
            <a:graphic>
              <a:graphicData uri="http://schemas.openxmlformats.org/drawingml/2006/picture">
                <pic:pic>
                  <pic:nvPicPr>
                    <pic:cNvPr descr="figures/fig7_sbar_macrof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8"/>
    <w:bookmarkEnd w:id="59"/>
    <w:bookmarkEnd w:id="60"/>
    <w:bookmarkStart w:id="64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1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1"/>
    <w:bookmarkStart w:id="62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2"/>
    <w:bookmarkStart w:id="63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3"/>
    <w:bookmarkEnd w:id="64"/>
    <w:bookmarkStart w:id="65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5"/>
    <w:bookmarkStart w:id="66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yield a consistent picture. In several classification and extraction</w:t>
      </w:r>
      <w:r>
        <w:t xml:space="preserve"> </w:t>
      </w:r>
      <w:r>
        <w:t xml:space="preserve">studies, fine-tuned encoder models outperformed the evaluated zero-shot baselines on held-out synthetic</w:t>
      </w:r>
      <w:r>
        <w:t xml:space="preserve"> </w:t>
      </w:r>
      <w:r>
        <w:t xml:space="preserve">communication; deliberately degraded, noisy</w:t>
      </w:r>
      <w:r>
        <w:t xml:space="preserve"> </w:t>
      </w:r>
      <w:r>
        <w:t xml:space="preserve">synthetic communication improves robustness rather than harming it; labels fixed at generation time and</w:t>
      </w:r>
      <w:r>
        <w:t xml:space="preserve"> </w:t>
      </w:r>
      <w:r>
        <w:t xml:space="preserve">audited by an independent judge deliver both control and quality; and local, on-premises generators can</w:t>
      </w:r>
      <w:r>
        <w:t xml:space="preserve"> </w:t>
      </w:r>
      <w:r>
        <w:t xml:space="preserve">bootstrap usable datasets without exposing any real data. These are encouraging and reusable design</w:t>
      </w:r>
      <w:r>
        <w:t xml:space="preserve"> </w:t>
      </w:r>
      <w:r>
        <w:t xml:space="preserve">lessons, not one-off results.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They come, however, with an unmistakable caveat.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6"/>
    <w:bookmarkStart w:id="68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7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8"/>
    <w:bookmarkStart w:id="69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9"/>
    <w:bookmarkStart w:id="7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0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S. Nayak et al.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1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2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3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bookmarkEnd w:id="74"/>
    <w:bookmarkEnd w:id="75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7" Type="http://schemas.openxmlformats.org/officeDocument/2006/relationships/hyperlink" Target="https://doi.org/10.5281/zenodo.21820227" TargetMode="External"/><Relationship Id="rId70" Type="http://schemas.openxmlformats.org/officeDocument/2006/relationships/hyperlink" Target="https://doi.org/10.7910/DVN/CG9X6D" TargetMode="External"/><Relationship Id="rId71" Type="http://schemas.openxmlformats.org/officeDocument/2006/relationships/hyperlink" Target="https://www.candello.com/Insights/Candello-Reports" TargetMode="External"/><Relationship Id="rId72" Type="http://schemas.openxmlformats.org/officeDocument/2006/relationships/hyperlink" Target="https://www.jointcommission.org/resources/sentinel-event/sentinel-event-data-summary/" TargetMode="External"/><Relationship Id="rId73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5281/zenodo.21820227" TargetMode="External"/><Relationship Id="rId70" Type="http://schemas.openxmlformats.org/officeDocument/2006/relationships/hyperlink" Target="https://doi.org/10.7910/DVN/CG9X6D" TargetMode="External"/><Relationship Id="rId71" Type="http://schemas.openxmlformats.org/officeDocument/2006/relationships/hyperlink" Target="https://www.candello.com/Insights/Candello-Reports" TargetMode="External"/><Relationship Id="rId72" Type="http://schemas.openxmlformats.org/officeDocument/2006/relationships/hyperlink" Target="https://www.jointcommission.org/resources/sentinel-event/sentinel-event-data-summary/" TargetMode="External"/><Relationship Id="rId73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2026-08-06T08:54:11Z</dcterms:created>
  <dcterms:modified xsi:type="dcterms:W3CDTF">2026-08-06T08:54:11Z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