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b3a8dbe493eb8229387b81cb07551ee4828e1f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Framework, Structured Survey, and Ten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Alexander Apartsin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4"/>
        </w:rPr>
        <w:t xml:space="preserve">   Yehudit Aperstein</w:t>
      </w:r>
      <w:r>
        <w:rPr>
          <w:rFonts w:ascii="Times New Roman" w:hAnsi="Times New Roman"/>
          <w:b/>
          <w:i w:val="0"/>
          <w:sz w:val="24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Alexander Apartsin and Yehudit Aperstein contributed equally to this work.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720" w:right="720" w:firstLine="0"/>
        <w:jc w:val="both"/>
        <w:keepNext w:val="0"/>
        <w:keepLines w:val="0"/>
        <w:widowControl w:val="1"/>
      </w:pPr>
      <w:r>
        <w:t xml:space="preserve">Our central contribution is an organizing framework for this emerging area: a</w:t>
      </w:r>
      <w:r>
        <w:t xml:space="preserve"> </w:t>
      </w:r>
      <w:r>
        <w:t xml:space="preserve">source-to-communication-to-model pipeline paired with a taxonomy of clinical-communication channels,</w:t>
      </w:r>
      <w:r>
        <w:t xml:space="preserve"> </w:t>
      </w:r>
      <w:r>
        <w:t xml:space="preserve">which we develop into a structured narrative survey organized by source representation, communication</w:t>
      </w:r>
      <w:r>
        <w:t xml:space="preserve"> </w:t>
      </w:r>
      <w:r>
        <w:t xml:space="preserve">form and participants, generation method, and downstream task. We instantiate and stress-test the framework through ten</w:t>
      </w:r>
      <w:r>
        <w:t xml:space="preserve"> </w:t>
      </w:r>
      <w:r>
        <w:t xml:space="preserve">application case studies that build clinical NLP systems for communication channels and languages where</w:t>
      </w:r>
      <w:r>
        <w:t xml:space="preserve"> </w:t>
      </w:r>
      <w:r>
        <w:t xml:space="preserve">labeled real-world data is scarce, restricted, or absent, spanning EMS pre-arrival reports, nurse handoffs, and patient-portal triage,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ten studies span a graded real-world-grounding spectrum: one augments labeled real training data with</w:t>
      </w:r>
      <w:r>
        <w:t xml:space="preserve"> </w:t>
      </w:r>
      <w:r>
        <w:t xml:space="preserve">synthetic critical cases and evaluates on authentic patient-authored text (a medication-question classifier,</w:t>
      </w:r>
      <w:r>
        <w:t xml:space="preserve"> </w:t>
      </w:r>
      <w:r>
        <w:t xml:space="preserve">our real-test augmentation anchor,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result); four seed generation from real structured</w:t>
      </w:r>
      <w:r>
        <w:t xml:space="preserve"> </w:t>
      </w:r>
      <w:r>
        <w:t xml:space="preserve">data; and the rest evaluate on held-out synthetic communication. None of the ten is a pure</w:t>
      </w:r>
      <w:r>
        <w:t xml:space="preserve"> </w:t>
      </w:r>
      <w:r>
        <w:t xml:space="preserve">train-on-synthetic, test-on-real (</w:t>
      </w:r>
      <w:r>
        <w:rPr>
          <w:i/>
          <w:iCs/>
        </w:rPr>
        <w:t xml:space="preserve">S→R</w:t>
      </w:r>
      <w:r>
        <w:t xml:space="preserve">) demonstration, so establishing that evidence is the</w:t>
      </w:r>
      <w:r>
        <w:t xml:space="preserve"> </w:t>
      </w:r>
      <w:r>
        <w:t xml:space="preserve">clearly marked next step rather than a hidden gap.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pStyle w:val="Keywords"/>
        <w:jc w:val="both"/>
        <w:keepNext w:val="0"/>
        <w:keepLines w:val="0"/>
        <w:widowControl w:val="1"/>
      </w:pPr>
      <w:r>
        <w:rPr>
          <w:b/>
          <w:bCs/>
        </w:rPr>
        <w:t xml:space="preserve">Keywords:</w:t>
      </w:r>
      <w:r>
        <w:t xml:space="preserve"> </w:t>
      </w:r>
      <w:r>
        <w:t xml:space="preserve">Synthetic data; Natural language processing; Large language models; Clinical communication; Electronic health records; Data augmentation</w:t>
      </w:r>
    </w:p>
    <w:bookmarkStart w:id="12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(Figure 1).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9205"/>
            <wp:effectExtent b="0" l="0" r="0" t="0"/>
            <wp:docPr descr="Four-stage pipeline: clinical sources, LLM generation with controlled properties, synthetic clinical communication across channels, and downstream NLP evaluated by regime" title="" id="10" name="Picture"/>
            <a:graphic>
              <a:graphicData uri="http://schemas.openxmlformats.org/drawingml/2006/picture">
                <pic:pic>
                  <pic:nvPicPr>
                    <pic:cNvPr descr="figures/fig0_landsc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92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The organizing pipeline of this survey. A clinical source of any format is realized by an LLM, under controlled communication properties, into synthetic communication across channels, on which a downstream model is trained and then evaluated in the S→S regime or, less often, by transfer to real text (S→R).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 Likewise, an LLM</w:t>
      </w:r>
      <w:r>
        <w:t xml:space="preserve"> </w:t>
      </w:r>
      <w:r>
        <w:t xml:space="preserve">that generates portal messages for a triage classifier to learn from is in scope, whereas an LLM that only</w:t>
      </w:r>
      <w:r>
        <w:t xml:space="preserve"> </w:t>
      </w:r>
      <w:r>
        <w:t xml:space="preserve">labels existing real messages is not, since it produces no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primary contribution is an organizing framework, the source-to-communication-to-model pipeline paired</w:t>
      </w:r>
      <w:r>
        <w:t xml:space="preserve"> </w:t>
      </w:r>
      <w:r>
        <w:t xml:space="preserve">with a taxonomy of clinical-communication channels, around which a fragmented literature is unified; within</w:t>
      </w:r>
      <w:r>
        <w:t xml:space="preserve"> </w:t>
      </w:r>
      <w:r>
        <w:t xml:space="preserve">it we survey recent generation and evaluation methods, instantiate and stress-test the framework through ten</w:t>
      </w:r>
      <w:r>
        <w:t xml:space="preserve"> </w:t>
      </w:r>
      <w:r>
        <w:t xml:space="preserve">application case studies that build clinical NLP for communication channels and languages where labeled</w:t>
      </w:r>
      <w:r>
        <w:t xml:space="preserve"> </w:t>
      </w:r>
      <w:r>
        <w:t xml:space="preserve">real-world data is scarce, restricted, or absent (demonstrating feasibility where models could not otherwise</w:t>
      </w:r>
      <w:r>
        <w:t xml:space="preserve"> </w:t>
      </w:r>
      <w:r>
        <w:t xml:space="preserve">be trained), and distill from them reusable</w:t>
      </w:r>
      <w:r>
        <w:t xml:space="preserve"> </w:t>
      </w:r>
      <w:r>
        <w:t xml:space="preserve">design patterns and open problems in an emergent field. The work spans three concerns of healthcare informatics:</w:t>
      </w:r>
      <w:r>
        <w:t xml:space="preserve"> </w:t>
      </w:r>
      <w:r>
        <w:t xml:space="preserve">analytics, in the generative-AI and machine-learning methods used to produce and process clinical text;</w:t>
      </w:r>
      <w:r>
        <w:t xml:space="preserve"> </w:t>
      </w:r>
      <w:r>
        <w:t xml:space="preserve">systems, in building natural language processing for under-served communication channels; and</w:t>
      </w:r>
      <w:r>
        <w:t xml:space="preserve"> </w:t>
      </w:r>
      <w:r>
        <w:t xml:space="preserve">human-centered computing, in the clinician and patient communication these systems ultimately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A concurrent scoping review in this journal surveys language-model synthetic data across biomedical research by data utility and quality, but organizes the field by those axes rather than by clinical-communication channel and pairs with no application studies</w:t>
      </w:r>
      <w:r>
        <w:rPr>
          <w:vertAlign w:val="superscript"/>
        </w:rPr>
        <w:t xml:space="preserve">[110]</w:t>
      </w:r>
      <w:r>
        <w:t xml:space="preserve">. Table 1 sets this survey against the closest prior reviews.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Rao et al. [110]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Biomedical synthetic text/data; not by communication channel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(10 studies)</w:t>
            </w:r>
          </w:p>
        </w:tc>
      </w:tr>
    </w:tbl>
    <w:bookmarkEnd w:id="12"/>
    <w:bookmarkStart w:id="24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6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3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3"/>
    <w:bookmarkStart w:id="14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bookmarkEnd w:id="14"/>
    <w:bookmarkStart w:id="15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bookmarkEnd w:id="15"/>
    <w:bookmarkEnd w:id="16"/>
    <w:bookmarkStart w:id="21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7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7"/>
    <w:bookmarkStart w:id="18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3.3);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8"/>
    <w:bookmarkStart w:id="19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19"/>
    <w:bookmarkStart w:id="20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0"/>
    <w:bookmarkEnd w:id="21"/>
    <w:bookmarkStart w:id="22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ten application studies in</w:t>
      </w:r>
      <w:r>
        <w:t xml:space="preserve"> </w:t>
      </w:r>
      <w:r>
        <w:t xml:space="preserve">Section 3, nine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3.2.4) uses real-plus-synthetic</w:t>
      </w:r>
      <w:r>
        <w:t xml:space="preserve"> </w:t>
      </w:r>
      <w:r>
        <w:t xml:space="preserve">training with authentic patient-authored testing (</w:t>
      </w:r>
      <w:r>
        <w:rPr>
          <w:i/>
          <w:iCs/>
        </w:rPr>
        <w:t xml:space="preserve">R+S→R</w:t>
      </w:r>
      <w:r>
        <w:t xml:space="preserve">); none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evaluation. Of the nine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studies, four generate from real clinical records or datasets</w:t>
      </w:r>
      <w:r>
        <w:t xml:space="preserve"> </w:t>
      </w:r>
      <w:r>
        <w:t xml:space="preserve">(Sections 3.1.1, 3.1.2, 3.1.3, and 3.3.1) and five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[108]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2"/>
    <w:bookmarkStart w:id="23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 and follow-ups;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§3.2.1–3.2.5, §3.3.1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§3.2.4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Counted across these task rows, the surveyed work concentrates in patient simulation and professional</w:t>
      </w:r>
      <w:r>
        <w:t xml:space="preserve"> </w:t>
      </w:r>
      <w:r>
        <w:t xml:space="preserve">training (fourteen representative works), summarization (ten), and information extraction and benchmark</w:t>
      </w:r>
      <w:r>
        <w:t xml:space="preserve"> </w:t>
      </w:r>
      <w:r>
        <w:t xml:space="preserve">construction (nine each), with privacy, augmentation, and distillation cutting across (twelve); triage and</w:t>
      </w:r>
      <w:r>
        <w:t xml:space="preserve"> </w:t>
      </w:r>
      <w:r>
        <w:t xml:space="preserve">routing, clinical coding, and handoff are comparatively sparse (five, two, and one). The application studies</w:t>
      </w:r>
      <w:r>
        <w:t xml:space="preserve"> </w:t>
      </w:r>
      <w:r>
        <w:t xml:space="preserve">of Section 3 deliberately populate that sparse end. By channel, real conversational corpora fall off</w:t>
      </w:r>
      <w:r>
        <w:t xml:space="preserve"> </w:t>
      </w:r>
      <w:r>
        <w:t xml:space="preserve">sharply, from patient–clinician dialogue, where some public datasets exist, through portal messaging,</w:t>
      </w:r>
      <w:r>
        <w:t xml:space="preserve"> </w:t>
      </w:r>
      <w:r>
        <w:t xml:space="preserve">where they are scarce, to EMS, dispatch, and handoff, where they are effectively absent; nine of the</w:t>
      </w:r>
      <w:r>
        <w:t xml:space="preserve"> </w:t>
      </w:r>
      <w:r>
        <w:t xml:space="preserve">ten studies target portal messaging and these pre-hospital and handoff channels, and all but one</w:t>
      </w:r>
      <w:r>
        <w:t xml:space="preserve"> </w:t>
      </w:r>
      <w:r>
        <w:t xml:space="preserve">(Section 3.2.4) evaluate in the S→S regime.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Building a system for a new channel: a recipe distilled from the recurring patterns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Choose a clinical source that fixes the facts (records, labels, a schema, or scenarios), preferring one grounded in real data so later transfer can be tested.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Generate communication with explicit control over role, intent, uncertainty, missingness, style, and channel noise, and emit the gold labels together with the text.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Audit those labels with an independent judge, and inject graded noise or omissions to match the target deployment.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Develop and select models on held-out synthetic data (S→S), taking a fine-tuned encoder as a strong and inexpensive baseline.</w:t>
      </w:r>
    </w:p>
    <w:p>
      <w:pPr>
        <w:pStyle w:val="Compact"/>
        <w:numPr>
          <w:ilvl w:val="0"/>
          <w:numId w:val="1001"/>
        </w:numPr>
        <w:ind w:left="360" w:hanging="259"/>
        <w:jc w:val="both"/>
        <w:keepNext w:val="0"/>
        <w:keepLines w:val="0"/>
        <w:widowControl w:val="1"/>
      </w:pPr>
      <w:r>
        <w:t xml:space="preserve">Validate by transfer to whatever authentic text exists (S→R), and disclose the synthetic provenance of any corpus that is shared.</w:t>
      </w:r>
    </w:p>
    <w:bookmarkEnd w:id="23"/>
    <w:bookmarkEnd w:id="24"/>
    <w:bookmarkStart w:id="5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builds a working system for a channel or language where</w:t>
      </w:r>
      <w:r>
        <w:t xml:space="preserve"> </w:t>
      </w:r>
      <w:r>
        <w:t xml:space="preserve">labeled real-world data is scarce or unavailable, making synthetic communication the enabling resource rather than a</w:t>
      </w:r>
      <w:r>
        <w:t xml:space="preserve"> </w:t>
      </w:r>
      <w:r>
        <w:t xml:space="preserve">mere convenience; they are worked instantiations of the framework used for cross-case synthesis, not standalone empirical studies.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Every study ships a self-contained reproduction script, and a five-seed re-run of the</w:t>
      </w:r>
      <w:r>
        <w:t xml:space="preserve"> </w:t>
      </w:r>
      <w:r>
        <w:t xml:space="preserve">reproducible pipeline confirms these metrics are stable to random seed (standard deviations typically below</w:t>
      </w:r>
      <w:r>
        <w:t xml:space="preserve"> </w:t>
      </w:r>
      <w:r>
        <w:t xml:space="preserve">0.05), so the single-run figures are a reporting choice rather than a fragile one. Table 7 summarizes all ten studies.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bookmarkStart w:id="28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5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holding up under heavy noise where the Naïve Bayes baseline</w:t>
      </w:r>
      <w:r>
        <w:t xml:space="preserve"> </w:t>
      </w:r>
      <w:r>
        <w:t xml:space="preserve">falls off sharply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Diagnostic label: Varicose Veins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description</w:t>
      </w:r>
      <w:r>
        <w:t xml:space="preserve"> </w:t>
      </w:r>
      <w:r>
        <w:t xml:space="preserve">“I am overweight and have noticed that my legs are swollen and the blood vessels are visible. My legs have swollen and I can see a stream of swollen veins on my calves.”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Varicose Veins (1 of 24 diseases)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 The Naïve Bayes row shows a five-seed reproduction on the shipped data (mean±SD; 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 The Naïve Bayes row shows a five-seed reproduction on the shipped data (mean±SD; 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94.0±0.9%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79.1±0.3%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79.2±0.7%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bookmarkEnd w:id="25"/>
    <w:bookmarkStart w:id="26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 Chickenpox; symptom set partially revealed (50%)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vignette</w:t>
      </w:r>
      <w:r>
        <w:t xml:space="preserve"> </w:t>
      </w:r>
      <w:r>
        <w:t xml:space="preserve">“A 28-year-old female presented to the emergency department with a history of fatigue and mild fever. She reported a loss of appetite over the past week and had noticed a few swollen lymph nodes in her neck. She described a general sense of malaise, and on examination a mild rash was observed on her arms.”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Chickenpox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bookmarkEnd w:id="26"/>
    <w:bookmarkStart w:id="27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[106]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Structured cardiac record (chest-pain type, rhythm, vitals)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complaint</w:t>
      </w:r>
      <w:r>
        <w:t xml:space="preserve"> </w:t>
      </w:r>
      <w:r>
        <w:t xml:space="preserve">“I’m a 49-year-old female. My chest feels tight, like someone’s pushing on it. I can’t relax. Lately I’ve been getting lightheaded out of nowhere, like I’m about to faint. It feels like my heart is doing its own thing, completely out of rhythm.”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 Logistic-regression accuracy and 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 Logistic-regression accuracy and 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0.755±0.025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0.723±0.011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bookmarkEnd w:id="27"/>
    <w:bookmarkEnd w:id="28"/>
    <w:bookmarkStart w:id="43" w:name="s63"/>
    <w:p>
      <w:pPr>
        <w:pStyle w:val="Heading3"/>
        <w:keepNext/>
        <w:keepLines/>
        <w:widowControl w:val="1"/>
      </w:pPr>
      <w:r>
        <w:t xml:space="preserve">3.2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2" w:name="X4c70d57689a9bd123de09154f3f9deb67fbd261"/>
    <w:p>
      <w:pPr>
        <w:pStyle w:val="Heading4"/>
        <w:keepNext/>
        <w:keepLines/>
        <w:widowControl w:val="1"/>
      </w:pPr>
      <w:r>
        <w:t xml:space="preserve">3.2.1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11,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patient-portal message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“I’m super worried about this rash on my arm. It’s been really itchy and it keeps getting bigger. I feel like something bad might be happening. Should I just ignore it or should I go see a doctor?”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Urgency: Yellow · risk factor: severe infection · information sufficient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054839"/>
            <wp:effectExtent b="0" l="0" r="0" t="0"/>
            <wp:docPr descr="Portal-message triage results summary" title="" id="30" name="Picture"/>
            <a:graphic>
              <a:graphicData uri="http://schemas.openxmlformats.org/drawingml/2006/picture">
                <pic:pic>
                  <pic:nvPicPr>
                    <pic:cNvPr descr="figures/fig2_portal_triag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54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bookmarkEnd w:id="32"/>
    <w:bookmarkStart w:id="36" w:name="severity-triage-of-postpartum-messages"/>
    <w:p>
      <w:pPr>
        <w:pStyle w:val="Heading4"/>
        <w:keepNext/>
        <w:keepLines/>
        <w:widowControl w:val="1"/>
      </w:pPr>
      <w:r>
        <w:t xml:space="preserve">3.2.2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12,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Generated postpartum message (post C-section)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“Hi, I had my C-section a few days ago. My incision looks kind of red, and there is this yucky stuff leaking. Also, I feel hot but not past 38.5°C. Is this normal? I am worried about it. Should I come to see you soon?”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Triage level 2 (of 0–3)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266944" cy="4139184"/>
            <wp:effectExtent b="0" l="0" r="0" t="0"/>
            <wp:docPr descr="Postpartum severity-triage confusion matrix" title="" id="34" name="Picture"/>
            <a:graphic>
              <a:graphicData uri="http://schemas.openxmlformats.org/drawingml/2006/picture">
                <pic:pic>
                  <pic:nvPicPr>
                    <pic:cNvPr descr="figures/fig3_csection_confus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6944" cy="4139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36"/>
    <w:bookmarkStart w:id="37" w:name="X8723f5f4a831929ea0d7e731d5de347d5e355d1"/>
    <w:p>
      <w:pPr>
        <w:pStyle w:val="Heading4"/>
        <w:keepNext/>
        <w:keepLines/>
        <w:widowControl w:val="1"/>
      </w:pPr>
      <w:r>
        <w:t xml:space="preserve">3.2.3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13).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Target emotion and distress: anxiety, high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message</w:t>
      </w:r>
      <w:r>
        <w:t xml:space="preserve"> </w:t>
      </w:r>
      <w:r>
        <w:t xml:space="preserve">“He’s in remission, they said. Like it’s some kind of victory parade. But I can’t stop seeing that hospital bed, the way his face went white when they brought the news. What if it comes back? I haven’t slept in days. The fear, it’s a vise squeezing my chest so tight I can barely breathe.”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Response: anxiety · distress: high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bookmarkEnd w:id="37"/>
    <w:bookmarkStart w:id="38" w:name="X9e4a77421b8c20f8d39059239d60de8009e90ff"/>
    <w:p>
      <w:pPr>
        <w:pStyle w:val="Heading4"/>
        <w:keepNext/>
        <w:keepLines/>
        <w:widowControl w:val="1"/>
      </w:pPr>
      <w:r>
        <w:t xml:space="preserve">3.2.4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14);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while training combines real labeled questions with synthetic critical cases,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data, a real-plus-synthetic training, test-on-real (</w:t>
      </w:r>
      <w:r>
        <w:rPr>
          <w:i/>
          <w:iCs/>
        </w:rPr>
        <w:t xml:space="preserve">R+S→R</w:t>
      </w:r>
      <w:r>
        <w:t xml:space="preserve">) result rather than a</w:t>
      </w:r>
      <w:r>
        <w:t xml:space="preserve"> </w:t>
      </w:r>
      <w:r>
        <w:t xml:space="preserve">synthetic-only transfer test; the classical SVM baseline (0.84 accuracy, 0.80 macro-F1) isolates the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Representative example (authentic test item)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Real MedInfo2019 consumer question; synthetic Critical questions augment the training set (not redistributed)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Question</w:t>
      </w:r>
      <w:r>
        <w:t xml:space="preserve"> </w:t>
      </w:r>
      <w:r>
        <w:t xml:space="preserve">“how does rivastigmine and otc sleep medicine interact”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Critical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bookmarkEnd w:id="38"/>
    <w:bookmarkStart w:id="42" w:name="X866505a93d30ea0aa48cc2aaff2638a55d83073"/>
    <w:p>
      <w:pPr>
        <w:pStyle w:val="Heading4"/>
        <w:keepNext/>
        <w:keepLines/>
        <w:widowControl w:val="1"/>
      </w:pPr>
      <w:r>
        <w:t xml:space="preserve">3.2.5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0.943±0.008 accuracy and 0.943±0.008 macro-F1 (five-seed reproduction on the shipped data; see the repository), confirming that the message adds signal beyond the vitals alone.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Diagnosis: diarrhea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1</w:t>
      </w:r>
      <w:r>
        <w:t xml:space="preserve"> </w:t>
      </w:r>
      <w:r>
        <w:t xml:space="preserve">“Today hasn’t been too good. I’ve been back and forth to the bathroom a lot and feel so tired. It’s like I can’t keep anything in me.”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Generated, day 2</w:t>
      </w:r>
      <w:r>
        <w:t xml:space="preserve"> </w:t>
      </w:r>
      <w:r>
        <w:t xml:space="preserve">“Things have gotten a bit rougher today. My stomach aches more and I feel weaker. I also noticed I’m a bit dizzy when I stand up.” (HR 102)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Status: deterioration</w:t>
      </w: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2948139"/>
            <wp:effectExtent b="0" l="0" r="0" t="0"/>
            <wp:docPr descr="Per-class recall of top fusion models" title="" id="40" name="Picture"/>
            <a:graphic>
              <a:graphicData uri="http://schemas.openxmlformats.org/drawingml/2006/picture">
                <pic:pic>
                  <pic:nvPicPr>
                    <pic:cNvPr descr="figures/fig4_homecare_recal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bookmarkEnd w:id="42"/>
    <w:bookmarkEnd w:id="43"/>
    <w:bookmarkStart w:id="52" w:name="s64"/>
    <w:p>
      <w:pPr>
        <w:pStyle w:val="Heading3"/>
        <w:keepNext/>
        <w:keepLines/>
        <w:widowControl w:val="1"/>
      </w:pPr>
      <w:r>
        <w:t xml:space="preserve">3.3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 and SBAR handover.</w:t>
      </w:r>
    </w:p>
    <w:bookmarkStart w:id="47" w:name="routing-ems-pre-arrival-reports"/>
    <w:p>
      <w:pPr>
        <w:pStyle w:val="Heading4"/>
        <w:keepNext/>
        <w:keepLines/>
        <w:widowControl w:val="1"/>
      </w:pPr>
      <w:r>
        <w:t xml:space="preserve">3.3.1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15,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MIMIC-IV-Ext-CDS emergency-department case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report</w:t>
      </w:r>
      <w:r>
        <w:t xml:space="preserve"> </w:t>
      </w:r>
      <w:r>
        <w:t xml:space="preserve">“69-year-old male with abdominal pain worsening since last night, now with shortness of breath and new bilateral shoulder pain with breathing. One episode of vomiting noted. Respirations elevated at 26.”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ED care area: monitored bed · specialty: gastroenterology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45" name="Picture"/>
            <a:graphic>
              <a:graphicData uri="http://schemas.openxmlformats.org/drawingml/2006/picture">
                <pic:pic>
                  <pic:nvPicPr>
                    <pic:cNvPr descr="figures/fig5_medalert_macrof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bookmarkEnd w:id="47"/>
    <w:bookmarkStart w:id="51" w:name="completeness-checking-of-sbar-handovers"/>
    <w:p>
      <w:pPr>
        <w:pStyle w:val="Heading4"/>
        <w:keepNext/>
        <w:keepLines/>
        <w:widowControl w:val="1"/>
      </w:pPr>
      <w:r>
        <w:t xml:space="preserve">3.3.2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16, Figure 6).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Synthetic example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Source</w:t>
      </w:r>
      <w:r>
        <w:t xml:space="preserve"> </w:t>
      </w:r>
      <w:r>
        <w:t xml:space="preserve">SBAR handover, post laparoscopic cholecystectomy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Generated SBAR</w:t>
      </w:r>
      <w:r>
        <w:t xml:space="preserve"> </w:t>
      </w:r>
      <w:r>
        <w:t xml:space="preserve">“Patient is a 68-year-old female post laparoscopic cholecystectomy. Vital signs show mild tachycardia and low-grade fever. Oxygen via nasal cannula 2 L/min. Wound sites clean with slight redness. Enoxaparin started for DVT prophylaxis. Labs and imaging pending. Fall risk moderate. Family informed.”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Gold label</w:t>
      </w:r>
      <w:r>
        <w:t xml:space="preserve"> </w:t>
      </w:r>
      <w:r>
        <w:t xml:space="preserve">Completeness: low (incomplete) · missing required items: code status, allergies, anticoagulation monitoring plan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 Logistic-regression accuracy and class macro-F1 are five-seed reproductions on the shipped data (mean±SD).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SBAR handover completeness: note-level results (synthetic test). Logistic-regression accuracy and class macro-F1 are five-seed reproductions on the shipped data (mean±S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0.745±0.040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0.732±0.046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943600" cy="3616036"/>
            <wp:effectExtent b="0" l="0" r="0" t="0"/>
            <wp:docPr descr="SBAR class macro-F1 comparison" title="" id="49" name="Picture"/>
            <a:graphic>
              <a:graphicData uri="http://schemas.openxmlformats.org/drawingml/2006/picture">
                <pic:pic>
                  <pic:nvPicPr>
                    <pic:cNvPr descr="figures/fig7_sbar_macrof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16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bookmarkEnd w:id="51"/>
    <w:bookmarkEnd w:id="52"/>
    <w:bookmarkStart w:id="53" w:name="s65"/>
    <w:p>
      <w:pPr>
        <w:pStyle w:val="Heading3"/>
        <w:keepNext/>
        <w:keepLines/>
        <w:widowControl w:val="1"/>
      </w:pPr>
      <w:r>
        <w:t xml:space="preserve">3.4  Real-World Grounding of the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Because external validity is the decisive question for any synthetic-data method, Table 17 states, for</w:t>
      </w:r>
      <w:r>
        <w:t xml:space="preserve"> </w:t>
      </w:r>
      <w:r>
        <w:t xml:space="preserve">each study, how much authentic data it touches and what its reported metric is measured on. The studies fall</w:t>
      </w:r>
      <w:r>
        <w:t xml:space="preserve"> </w:t>
      </w:r>
      <w:r>
        <w:t xml:space="preserve">into three real-world-grounding levels, which are not equivalent validation levels. One study evaluates its</w:t>
      </w:r>
      <w:r>
        <w:t xml:space="preserve"> </w:t>
      </w:r>
      <w:r>
        <w:t xml:space="preserve">headline metric on authentic patient-authored text: the medication-question classifier (§3.2.4) trains on</w:t>
      </w:r>
      <w:r>
        <w:t xml:space="preserve"> </w:t>
      </w:r>
      <w:r>
        <w:t xml:space="preserve">labeled real questions plus synthetic critical cases and is tested on real consumer questions, so its number is</w:t>
      </w:r>
      <w:r>
        <w:t xml:space="preserve"> </w:t>
      </w:r>
      <w:r>
        <w:t xml:space="preserve">a real-plus-synthetic training, test-on-real (</w:t>
      </w:r>
      <w:r>
        <w:rPr>
          <w:i/>
          <w:iCs/>
        </w:rPr>
        <w:t xml:space="preserve">R+S→R</w:t>
      </w:r>
      <w:r>
        <w:t xml:space="preserve">) result; it demonstrates evaluation against</w:t>
      </w:r>
      <w:r>
        <w:t xml:space="preserve"> </w:t>
      </w:r>
      <w:r>
        <w:t xml:space="preserve">authentic communication and synthetic rare-class augmentation, not transfer from synthetic-only training. Four</w:t>
      </w:r>
      <w:r>
        <w:t xml:space="preserve"> </w:t>
      </w:r>
      <w:r>
        <w:t xml:space="preserve">studies seed generation from real structured data, case distributions and diagnostic labels drawn from public</w:t>
      </w:r>
      <w:r>
        <w:t xml:space="preserve"> </w:t>
      </w:r>
      <w:r>
        <w:t xml:space="preserve">datasets or de-identified records (Symptom2Disease, the Symptom-Disease Prediction Dataset, MIMIC-IV-ED, and</w:t>
      </w:r>
      <w:r>
        <w:t xml:space="preserve"> </w:t>
      </w:r>
      <w:r>
        <w:t xml:space="preserve">MIMIC-IV-Ext), so their labels and clinical content are anchored in reality even though the communication text</w:t>
      </w:r>
      <w:r>
        <w:t xml:space="preserve"> </w:t>
      </w:r>
      <w:r>
        <w:t xml:space="preserve">and the test set are synthetic. The remaining five studies are fully synthetic in source, text, and test. None</w:t>
      </w:r>
      <w:r>
        <w:t xml:space="preserve"> </w:t>
      </w:r>
      <w:r>
        <w:t xml:space="preserve">of the ten provides a pure train-on-synthetic, test-on-real (</w:t>
      </w:r>
      <w:r>
        <w:rPr>
          <w:i/>
          <w:iCs/>
        </w:rPr>
        <w:t xml:space="preserve">S→R</w:t>
      </w:r>
      <w:r>
        <w:t xml:space="preserve">) evaluation; stating this</w:t>
      </w:r>
      <w:r>
        <w:t xml:space="preserve"> </w:t>
      </w:r>
      <w:r>
        <w:t xml:space="preserve">explicitly is deliberate, because it shows the survey demonstrates channel feasibility broadly while genuine</w:t>
      </w:r>
      <w:r>
        <w:t xml:space="preserve"> </w:t>
      </w:r>
      <w:r>
        <w:t xml:space="preserve">synthetic-only real-text validation is the boundary Section 4 examines and the frontier Section 5 prioritizes.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Real-world grounding of the ten application studies: the authentic data each uses and the provenance of the text on which its reported metric is measured. No study provides a pure S→R (synthetic-only training, real testing) evaluation.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Real-world grounding of the ten application studies: the authentic data each uses and the provenance of the text on which its reported metric is measured. No study provides a pure S→R (synthetic-only training, real testing) evalu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Authentic data used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 tested 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Regime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Symptom-Disease Prediction Dataset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Symptom2Disease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MIMIC-IV-ED labels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labeled corpus for training and testing; synthetic critical cases added to training only (MedInfo2019)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Real</w:t>
            </w:r>
            <w:r>
              <w:rPr>
                <w:rFonts w:ascii="Times New Roman" w:hAnsi="Times New Roman"/>
                <w:sz w:val="19"/>
              </w:rPr>
              <w:t xml:space="preserve"> </w:t>
            </w:r>
            <w:r>
              <w:rPr>
                <w:rFonts w:ascii="Times New Roman" w:hAnsi="Times New Roman"/>
                <w:sz w:val="19"/>
              </w:rPr>
              <w:t xml:space="preserve">(authentic patient text)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9"/>
              </w:rPr>
              <w:t xml:space="preserve">R+S→R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Real seed: MIMIC-IV-Ext cases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None (fully synthetic)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9"/>
              </w:rPr>
              <w:t xml:space="preserve">S→S</w:t>
            </w:r>
          </w:p>
        </w:tc>
      </w:tr>
    </w:tbl>
    <w:bookmarkEnd w:id="53"/>
    <w:bookmarkEnd w:id="54"/>
    <w:bookmarkStart w:id="59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5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can transfer</w:t>
      </w:r>
      <w:r>
        <w:t xml:space="preserve"> </w:t>
      </w:r>
      <w:r>
        <w:t xml:space="preserve">imperfectly to real text, a gap that train-on-synthetic, test-on-real evaluation is designed to surface.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still maturing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55"/>
    <w:bookmarkStart w:id="5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considerations. Regulatory frameworks are still emerging: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No current medical-device framework treats a synthetic</w:t>
      </w:r>
      <w:r>
        <w:t xml:space="preserve"> </w:t>
      </w:r>
      <w:r>
        <w:t xml:space="preserve">training corpus as a distinct regulated object, which leaves provenance records and disclosure of synthetic</w:t>
      </w:r>
      <w:r>
        <w:t xml:space="preserve"> </w:t>
      </w:r>
      <w:r>
        <w:t xml:space="preserve">origin as the practical interim controls.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are still being adapted to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depends on the exact generator, prompt, sampling</w:t>
      </w:r>
      <w:r>
        <w:t xml:space="preserve"> </w:t>
      </w:r>
      <w:r>
        <w:t xml:space="preserve">temperature, and filtering pipeline; reporting these in full is what makes studies directly comparable. In</w:t>
      </w:r>
      <w:r>
        <w:t xml:space="preserve"> </w:t>
      </w:r>
      <w:r>
        <w:t xml:space="preserve">the studies reported here no identifiable patient data was used: generators were seeded either from public</w:t>
      </w:r>
      <w:r>
        <w:t xml:space="preserve"> </w:t>
      </w:r>
      <w:r>
        <w:t xml:space="preserve">datasets or de-identified records, and the resulting communication describes no real individual, which is the</w:t>
      </w:r>
      <w:r>
        <w:t xml:space="preserve"> </w:t>
      </w:r>
      <w:r>
        <w:t xml:space="preserve">concrete form the privacy argument takes across this survey.</w:t>
      </w:r>
    </w:p>
    <w:bookmarkEnd w:id="56"/>
    <w:bookmarkStart w:id="5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57"/>
    <w:bookmarkStart w:id="58" w:name="scope-of-this-review"/>
    <w:p>
      <w:pPr>
        <w:pStyle w:val="Heading3"/>
        <w:keepNext/>
        <w:keepLines/>
        <w:widowControl w:val="1"/>
      </w:pPr>
      <w:r>
        <w:t xml:space="preserve">4.4  Scope of This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review has its own boundaries. It follows a narrative, scoping-style approach: relevant work was</w:t>
      </w:r>
      <w:r>
        <w:t xml:space="preserve"> </w:t>
      </w:r>
      <w:r>
        <w:t xml:space="preserve">identified through iterative database and citation-chaining search and organized by clinical-communication</w:t>
      </w:r>
      <w:r>
        <w:t xml:space="preserve"> </w:t>
      </w:r>
      <w:r>
        <w:t xml:space="preserve">channel, rather than through a preregistered systematic protocol with exhaustive, reproducible coverage, and</w:t>
      </w:r>
      <w:r>
        <w:t xml:space="preserve"> </w:t>
      </w:r>
      <w:r>
        <w:t xml:space="preserve">fast-moving preprint work will continue to appear after writing. The application studies are drawn from a single graduate program and are</w:t>
      </w:r>
      <w:r>
        <w:t xml:space="preserve"> </w:t>
      </w:r>
      <w:r>
        <w:t xml:space="preserve">weighted toward English, so they demonstrate feasibility across channels rather than a</w:t>
      </w:r>
      <w:r>
        <w:t xml:space="preserve"> </w:t>
      </w:r>
      <w:r>
        <w:t xml:space="preserve">representative sample of methods or languages. The channel taxonomy is a deliberate organizing choice; other</w:t>
      </w:r>
      <w:r>
        <w:t xml:space="preserve"> </w:t>
      </w:r>
      <w:r>
        <w:t xml:space="preserve">cuts, by generation method, by clinical specialty, or by data governance regime, would group the same work</w:t>
      </w:r>
      <w:r>
        <w:t xml:space="preserve"> </w:t>
      </w:r>
      <w:r>
        <w:t xml:space="preserve">differently and are complementary to the one taken here.</w:t>
      </w:r>
    </w:p>
    <w:bookmarkEnd w:id="58"/>
    <w:bookmarkEnd w:id="59"/>
    <w:bookmarkStart w:id="60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0"/>
    <w:bookmarkStart w:id="61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18)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Reusable design patterns recurring across the t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§3.2.1, §3.2.3, §3.2.4,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§3.3.1, §3.3.2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§3.2.2, §3.2.4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§3.2.1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[109]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19)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communication, a gap not visible under held-out synthetic evaluation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pStyle w:val="BodyText"/>
        <w:spacing w:before="240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3.2.4), an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case whose</w:t>
      </w:r>
      <w:r>
        <w:t xml:space="preserve"> </w:t>
      </w:r>
      <w:r>
        <w:t xml:space="preserve">classifier trains on real labeled questions plus synthetic rare-class augmentation and is tested on authentic</w:t>
      </w:r>
      <w:r>
        <w:t xml:space="preserve"> </w:t>
      </w:r>
      <w:r>
        <w:t xml:space="preserve">patient-authored questions; one further study grounds generation in real clinical records, tracing EMS routing to MIMIC-IV cases (Section 3.3.1). No study provides a pure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test.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the field's decisive next step. Advancing it,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61"/>
    <w:bookmarkStart w:id="63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62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Each study's reproducible pipeline can be re-run across random seeds through a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control, and a five-seed sweep confirms the reproduced metrics are stable to seed, with standard deviations typically below 0.05; the per-seed results ship with the code.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make each headline result auditable at a glance, Table 20 records, per study, the generator that</w:t>
      </w:r>
      <w:r>
        <w:t xml:space="preserve"> </w:t>
      </w:r>
      <w:r>
        <w:t xml:space="preserve">produced the synthetic communication, the downstream model whose result is reported, the train/test split and</w:t>
      </w:r>
      <w:r>
        <w:t xml:space="preserve"> </w:t>
      </w:r>
      <w:r>
        <w:t xml:space="preserve">random seed, and the evaluation regime, together with what ships for reproduction. A five-seed sweep of the</w:t>
      </w:r>
      <w:r>
        <w:t xml:space="preserve"> </w:t>
      </w:r>
      <w:r>
        <w:t xml:space="preserve">reproducible pipeline (the</w:t>
      </w:r>
      <w:r>
        <w:t xml:space="preserve"> </w:t>
      </w:r>
      <w:r>
        <w:rPr>
          <w:rStyle w:val="VerbatimChar"/>
        </w:rPr>
        <w:t xml:space="preserve">REPRODUCE_SEED</w:t>
      </w:r>
      <w:r>
        <w:t xml:space="preserve"> </w:t>
      </w:r>
      <w:r>
        <w:t xml:space="preserve">control above) and its per-seed values are recorded in</w:t>
      </w:r>
      <w:r>
        <w:t xml:space="preserve"> </w:t>
      </w:r>
      <w:r>
        <w:rPr>
          <w:rStyle w:val="VerbatimChar"/>
        </w:rPr>
        <w:t xml:space="preserve">CaseStudies/reproducibility_seed_stability.json</w:t>
      </w:r>
      <w:r>
        <w:t xml:space="preserve"> </w:t>
      </w:r>
      <w:r>
        <w:t xml:space="preserve">and summarized in</w:t>
      </w:r>
      <w:r>
        <w:t xml:space="preserve"> </w:t>
      </w:r>
      <w:r>
        <w:rPr>
          <w:rStyle w:val="VerbatimChar"/>
        </w:rPr>
        <w:t xml:space="preserve">CaseStudies/REPRODUCE.md</w:t>
      </w:r>
      <w:r>
        <w:t xml:space="preserve">, which also flags the studies that ship a size-capped sample rather than</w:t>
      </w:r>
      <w:r>
        <w:t xml:space="preserve"> </w:t>
      </w:r>
      <w:r>
        <w:t xml:space="preserve">the full corpus.</w:t>
      </w:r>
    </w:p>
    <w:p>
      <w:pPr>
        <w:pStyle w:val="TableCaption"/>
        <w:spacing w:before="28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Per-study reproduction provenance: generator, downstream model, split and seed, evaluation regime, and what ships. Splits are stratified 80/20 unless noted. Every study ships a self-contained reproduce.py; “sample” marks a study that ships a size-capped subset (see REPRODUCE.md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Generator (LLM)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Headline downstream 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Split / seed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Regime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8"/>
              </w:rPr>
              <w:t xml:space="preserve">Ships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LLM questioning benchmark (no trained classifier)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n/a (benchmark)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data + reproduce.py (metric re-eval)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FLAN-T5 (vs BERT, ClinicalBERT, NB)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 (MIMIC-IV-ED-seeded)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LR, T5)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Administrative portal-message triage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Qwen2.5-0.5B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heads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Postpartum severity triage (3.2.2)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GPT-4o-mini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cascade (vs Bi-LSTM)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12345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Oncology distress classification (3.2.3)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Gemma2-27B (local)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DistilBERT (vs TF-IDF+LR)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fixed shipped split,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Medication-question risk classification (3.2.4)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BioBERT / BlueBERT (vs SVM)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i/>
                <w:iCs/>
                <w:sz w:val="18"/>
              </w:rPr>
              <w:t xml:space="preserve">R+S→R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real labels + synthetic augmentation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Home-care status detection (3.2.5)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LightGBM (TF-IDF + vitals fusion)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full data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EMS report routing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GPT-4.1-mini (MIMIC-IV-Ext,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SBAR completeness checking (3.3.2)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OpenAI batch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BioClinicalBERT / hierarchical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80/20, seed 42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i/>
                <w:iCs/>
                <w:sz w:val="18"/>
              </w:rPr>
              <w:t xml:space="preserve">S→S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suppressAutoHyphens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8"/>
              </w:rPr>
              <w:t xml:space="preserve">sample + reproduce.py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64"/>
    <w:bookmarkStart w:id="65" w:name="statements-and-declarations"/>
    <w:p>
      <w:pPr>
        <w:pStyle w:val="Heading2"/>
        <w:keepNext/>
        <w:keepLines/>
        <w:widowControl w:val="1"/>
      </w:pPr>
      <w:r>
        <w:t xml:space="preserve">Statements and Declarations</w:t>
      </w:r>
    </w:p>
    <w:p>
      <w:pPr>
        <w:pStyle w:val="FirstParagraph"/>
        <w:jc w:val="both"/>
        <w:keepNext w:val="0"/>
        <w:keepLines w:val="0"/>
        <w:widowControl w:val="1"/>
      </w:pPr>
      <w:r>
        <w:rPr>
          <w:b/>
          <w:bCs/>
        </w:rPr>
        <w:t xml:space="preserve">Funding.</w:t>
      </w:r>
      <w:r>
        <w:t xml:space="preserve"> </w:t>
      </w:r>
      <w:r>
        <w:t xml:space="preserve">The authors did not receive support from any organization for the submitted work.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authors have no relevant financial or non-financial interests to disclose.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Data availability.</w:t>
      </w:r>
      <w:r>
        <w:t xml:space="preserve"> </w:t>
      </w:r>
      <w:r>
        <w:t xml:space="preserve">The datasets and reproduction code are publicly available on Zenodo (doi:10.5281/zenodo.21820227) and on GitHub.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Alexander Apartsin and Yehudit Aperstein contributed equally to this work. Both authors conceived and designed the study, performed the analysis, and wrote, reviewed, and edited the manuscript; both approved the final version.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applicable. The study uses LLM-generated synthetic data and publicly available datasets; it involves no human participants or identifiable patient data.</w:t>
      </w:r>
    </w:p>
    <w:bookmarkEnd w:id="65"/>
    <w:bookmarkStart w:id="71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66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67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68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69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106.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107.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108.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109.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20"/>
        </w:rPr>
        <w:t xml:space="preserve">110. </w:t>
      </w:r>
      <w:r>
        <w:t xml:space="preserve">H. Rao, W. Liu, H. Wang, I.-C. Huang, Z. He, X. Huang. A Scoping Review of Synthetic Data Generation by Language Models in Biomedical Research and Application: Data Utility and Quality Perspectives.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, 10(2), 2026.</w:t>
      </w:r>
      <w:r>
        <w:t xml:space="preserve"> </w:t>
      </w:r>
      <w:hyperlink r:id="rId70">
        <w:r>
          <w:rPr>
            <w:rStyle w:val="Hyperlink"/>
          </w:rPr>
          <w:t xml:space="preserve">doi:10.1007/s41666-026-00229-9</w:t>
        </w:r>
      </w:hyperlink>
    </w:p>
    <w:bookmarkEnd w:id="71"/>
    <w:bookmarkEnd w:id="72"/>
    <w:sectPr w:rsidR="00FC693F" w:rsidRPr="0006063C" w:rsidSect="00034616">
      <w:footerReference w:type="default" r:id="rId10"/>
      <w:pgSz w:h="15840" w:w="12240"/>
      <w:pgMar w:bottom="1440" w:footer="720" w:gutter="0" w:header="720" w:left="1440" w:right="1440" w:top="1440"/>
      <w:lnNumType w:countBy="1" w:start="1" w:restart="continuous" w:distance="36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480" w:lineRule="auto"/>
    </w:pPr>
    <w:rPr>
      <w:rFonts w:ascii="Times New Roman" w:hAnsi="Times New Roman"/>
      <w:b w:val="0"/>
      <w:i w:val="0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480" w:lineRule="auto"/>
      <w:ind w:firstLine="720"/>
      <w:jc w:val="both"/>
    </w:pPr>
    <w:rPr>
      <w:rFonts w:ascii="Times New Roman" w:hAnsi="Times New Roman"/>
      <w:b w:val="0"/>
      <w:i w:val="0"/>
      <w:sz w:val="24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480" w:lineRule="auto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4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4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4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20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39" Type="http://schemas.openxmlformats.org/officeDocument/2006/relationships/image" Target="media/rId39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70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0" Type="http://schemas.openxmlformats.org/officeDocument/2006/relationships/hyperlink" Target="https://doi.org/10.1007/s41666-026-00229-9" TargetMode="External"/><Relationship Id="rId62" Type="http://schemas.openxmlformats.org/officeDocument/2006/relationships/hyperlink" Target="https://doi.org/10.5281/zenodo.21820227" TargetMode="External"/><Relationship Id="rId66" Type="http://schemas.openxmlformats.org/officeDocument/2006/relationships/hyperlink" Target="https://doi.org/10.7910/DVN/CG9X6D" TargetMode="External"/><Relationship Id="rId67" Type="http://schemas.openxmlformats.org/officeDocument/2006/relationships/hyperlink" Target="https://www.candello.com/Insights/Candello-Reports" TargetMode="External"/><Relationship Id="rId68" Type="http://schemas.openxmlformats.org/officeDocument/2006/relationships/hyperlink" Target="https://www.jointcommission.org/resources/sentinel-event/sentinel-event-data-summary/" TargetMode="External"/><Relationship Id="rId69" Type="http://schemas.openxmlformats.org/officeDocument/2006/relationships/hyperlink" Target="https://www.kaggle.com/datasets/niyarrbarman/symptom2disea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2026-08-09T07:49:30Z</dcterms:created>
  <dcterms:modified xsi:type="dcterms:W3CDTF">2026-08-09T07:49:30Z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