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nurse handoffs, and</w:t>
      </w:r>
      <w:r>
        <w:t xml:space="preserve"> </w:t>
      </w:r>
      <w:r>
        <w:t xml:space="preserve">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Across the ten studies, one</w:t>
      </w:r>
      <w:r>
        <w:t xml:space="preserve"> </w:t>
      </w:r>
      <w:r>
        <w:t xml:space="preserve">reports its headline metric on authentic patient-authored text and four seed generation from real</w:t>
      </w:r>
      <w:r>
        <w:t xml:space="preserve"> </w:t>
      </w:r>
      <w:r>
        <w:t xml:space="preserve">structured data, while the remainder evaluate on held-out synthetic communication; broadening this</w:t>
      </w:r>
      <w:r>
        <w:t xml:space="preserve"> </w:t>
      </w:r>
      <w:r>
        <w:t xml:space="preserve">train-on-synthetic, test-on-authentic evidence is the central open step.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pStyle w:val="Keywords"/>
        <w:jc w:val="both"/>
        <w:keepNext w:val="0"/>
        <w:keepLines w:val="0"/>
        <w:widowControl w:val="1"/>
      </w:pPr>
      <w:r>
        <w:rPr>
          <w:b/>
          <w:bCs/>
        </w:rPr>
        <w:t xml:space="preserve">Keywords:</w:t>
      </w:r>
      <w:r>
        <w:t xml:space="preserve"> </w:t>
      </w:r>
      <w:r>
        <w:t xml:space="preserve">Synthetic data; Natural language processing; Large language models; Clinical communication; Electronic health records; Data augmentation</w:t>
      </w: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 The work spans three concerns of healthcare informatics:</w:t>
      </w:r>
      <w:r>
        <w:t xml:space="preserve"> </w:t>
      </w:r>
      <w:r>
        <w:t xml:space="preserve">analytics, in the generative-AI and machine-learning methods used to produce and process clinical text;</w:t>
      </w:r>
      <w:r>
        <w:t xml:space="preserve"> </w:t>
      </w:r>
      <w:r>
        <w:t xml:space="preserve">systems, in building natural language processing for under-served communication channels; and</w:t>
      </w:r>
      <w:r>
        <w:t xml:space="preserve"> </w:t>
      </w:r>
      <w:r>
        <w:t xml:space="preserve">human-centered computing, in the clinician and patient communication these systems ultimately serve.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reports results on</w:t>
      </w:r>
      <w:r>
        <w:t xml:space="preserve"> </w:t>
      </w:r>
      <w:r>
        <w:t xml:space="preserve">authentic patient-authored text; of the nine,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77.5%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0.971 accuracy and 0.972 macro-F1,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1"/>
    <w:bookmarkEnd w:id="52"/>
    <w:bookmarkStart w:id="53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grounding levels. One study evaluates its headline metric on authentic patient-authored text: the</w:t>
      </w:r>
      <w:r>
        <w:t xml:space="preserve"> </w:t>
      </w:r>
      <w:r>
        <w:t xml:space="preserve">medication-question classifier (§3.2.4) is tested on real consumer questions, with generation confined to</w:t>
      </w:r>
      <w:r>
        <w:t xml:space="preserve"> </w:t>
      </w:r>
      <w:r>
        <w:t xml:space="preserve">training-side class rebalancing, so its number is a genuine train-on-synthetic-augmented, test-on-real</w:t>
      </w:r>
      <w:r>
        <w:t xml:space="preserve"> </w:t>
      </w:r>
      <w:r>
        <w:t xml:space="preserve">(</w:t>
      </w:r>
      <w:r>
        <w:rPr>
          <w:i/>
          <w:iCs/>
        </w:rPr>
        <w:t xml:space="preserve">S→R</w:t>
      </w:r>
      <w:r>
        <w:t xml:space="preserve">) result. Four studies seed generation from real structured data, case distributions and</w:t>
      </w:r>
      <w:r>
        <w:t xml:space="preserve"> </w:t>
      </w:r>
      <w:r>
        <w:t xml:space="preserve">diagnostic labels drawn from public datasets or de-identified records (Symptom2Disease, the Symptom-Disease</w:t>
      </w:r>
      <w:r>
        <w:t xml:space="preserve"> </w:t>
      </w:r>
      <w:r>
        <w:t xml:space="preserve">Prediction Dataset, MIMIC-IV-ED, and MIMIC-IV-Ext), so their labels and clinical content are anchored in</w:t>
      </w:r>
      <w:r>
        <w:t xml:space="preserve"> </w:t>
      </w:r>
      <w:r>
        <w:t xml:space="preserve">reality even though the communication text and the test set are synthetic. The remaining five studies are</w:t>
      </w:r>
      <w:r>
        <w:t xml:space="preserve"> </w:t>
      </w:r>
      <w:r>
        <w:t xml:space="preserve">fully synthetic in source, text, and test. Stating this distribution explicitly is deliberate: it shows that</w:t>
      </w:r>
      <w:r>
        <w:t xml:space="preserve"> </w:t>
      </w:r>
      <w:r>
        <w:t xml:space="preserve">the survey demonstrates channel feasibility broadly while genuine real-text validation is so far established</w:t>
      </w:r>
      <w:r>
        <w:t xml:space="preserve"> </w:t>
      </w:r>
      <w:r>
        <w:t xml:space="preserve">at one point, which is the boundary Section 4 examines and the frontier Section 5 prioritizes.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test set: authentic patient questions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one further study grounds generation in real clinical records, tracing EMS routing to MIMIC-IV cases (Section 3.3.1).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65" w:name="statements-and-declarations"/>
    <w:p>
      <w:pPr>
        <w:pStyle w:val="Heading2"/>
        <w:keepNext/>
        <w:keepLines/>
        <w:widowControl w:val="1"/>
      </w:pPr>
      <w:r>
        <w:t xml:space="preserve">Statements and Declarations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Funding.</w:t>
      </w:r>
      <w:r>
        <w:t xml:space="preserve"> </w:t>
      </w:r>
      <w:r>
        <w:t xml:space="preserve">The authors did not receive support from any organization for the submitted work.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The authors have no relevant financial or non-financial interests to disclose.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The datasets and reproduction code are publicly available on Zenodo (doi:10.5281/zenodo.21820227) and on GitHub.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Alexander Apartsin and Yehudit Aperstein contributed equally to this work. Both authors conceived and designed the study, performed the analysis, and wrote, reviewed, and edited the manuscript; both approved the final version.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Ethics approval.</w:t>
      </w:r>
      <w:r>
        <w:t xml:space="preserve"> </w:t>
      </w:r>
      <w:r>
        <w:t xml:space="preserve">Not applicable. The study uses LLM-generated synthetic data and publicly available datasets; it involves no human participants or identifiable patient data.</w:t>
      </w:r>
    </w:p>
    <w:bookmarkEnd w:id="65"/>
    <w:bookmarkStart w:id="70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6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7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8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9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70"/>
    <w:bookmarkEnd w:id="71"/>
    <w:sectPr w:rsidR="00FC693F" w:rsidRPr="0006063C" w:rsidSect="00034616">
      <w:footerReference w:type="default" r:id="rId10"/>
      <w:pgSz w:h="15840" w:w="12240"/>
      <w:pgMar w:bottom="1440" w:footer="720" w:gutter="0" w:header="720" w:left="1440" w:right="1440" w:top="1440"/>
      <w:lnNumType w:countBy="1" w:start="1" w:restart="continuous" w:distance="36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480" w:lineRule="auto"/>
    </w:pPr>
    <w:rPr>
      <w:rFonts w:ascii="Times New Roma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480" w:lineRule="auto"/>
      <w:ind w:firstLine="720"/>
      <w:jc w:val="both"/>
    </w:pPr>
    <w:rPr>
      <w:rFonts w:ascii="Times New Roman" w:hAnsi="Times New Roman"/>
      <w:b w:val="0"/>
      <w:i w:val="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480" w:lineRule="auto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4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4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62" Type="http://schemas.openxmlformats.org/officeDocument/2006/relationships/hyperlink" Target="https://doi.org/10.5281/zenodo.21820227" TargetMode="External"/><Relationship Id="rId66" Type="http://schemas.openxmlformats.org/officeDocument/2006/relationships/hyperlink" Target="https://doi.org/10.7910/DVN/CG9X6D" TargetMode="External"/><Relationship Id="rId67" Type="http://schemas.openxmlformats.org/officeDocument/2006/relationships/hyperlink" Target="https://www.candello.com/Insights/Candello-Reports" TargetMode="External"/><Relationship Id="rId68" Type="http://schemas.openxmlformats.org/officeDocument/2006/relationships/hyperlink" Target="https://www.jointcommission.org/resources/sentinel-event/sentinel-event-data-summary/" TargetMode="External"/><Relationship Id="rId69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doi.org/10.5281/zenodo.21820227" TargetMode="External"/><Relationship Id="rId66" Type="http://schemas.openxmlformats.org/officeDocument/2006/relationships/hyperlink" Target="https://doi.org/10.7910/DVN/CG9X6D" TargetMode="External"/><Relationship Id="rId67" Type="http://schemas.openxmlformats.org/officeDocument/2006/relationships/hyperlink" Target="https://www.candello.com/Insights/Candello-Reports" TargetMode="External"/><Relationship Id="rId68" Type="http://schemas.openxmlformats.org/officeDocument/2006/relationships/hyperlink" Target="https://www.jointcommission.org/resources/sentinel-event/sentinel-event-data-summary/" TargetMode="External"/><Relationship Id="rId69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2026-08-09T03:49:51Z</dcterms:created>
  <dcterms:modified xsi:type="dcterms:W3CDTF">2026-08-09T03:49:51Z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