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Georgia" w:hAnsi="Georgia"/>
          <w:b w:val="0"/>
          <w:i/>
          <w:sz w:val="20"/>
        </w:rPr>
        <w:t xml:space="preserve">Correspondence: Yehudit Aperstein, apersteiny@afeka.ac.il. Co-author: A. Apartsin, alexanderap@hit.ac.il. ORCID: Apartsin 0009-0000-7007-3529, Aperstein 0000-0001-6390-9463. 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Perspective.</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IT is usually organized by the technologies it adopts. We instead organize it by the unit of information a system makes computable, and describe a computational layer whose object is patient-specific clinical intent.</w:t>
      </w:r>
    </w:p>
    <w:p>
      <w:pPr>
        <w:pStyle w:val="BodyText"/>
        <w:ind w:left="720" w:right="720" w:firstLine="0"/>
        <w:jc w:val="both"/>
        <w:keepNext w:val="0"/>
        <w:keepLines w:val="0"/>
        <w:widowControl w:val="1"/>
      </w:pPr>
      <w:r>
        <w:t xml:space="preserve">Approach.</w:t>
      </w:r>
      <w:r>
        <w:t xml:space="preserve"> </w:t>
      </w:r>
      <w:r>
        <w:t xml:space="preserve">We give criteria for a computational layer, derive three (record, clinical state, and a proposed layer of intent), and formalize the Actionable Clinical Record (ACR) as the third layer’s atomic object.</w:t>
      </w:r>
    </w:p>
    <w:p>
      <w:pPr>
        <w:pStyle w:val="BodyText"/>
        <w:ind w:left="720" w:right="720" w:firstLine="0"/>
        <w:jc w:val="both"/>
        <w:keepNext w:val="0"/>
        <w:keepLines w:val="0"/>
        <w:widowControl w:val="1"/>
      </w:pPr>
      <w:r>
        <w:t xml:space="preserve">Discussion.</w:t>
      </w:r>
      <w:r>
        <w:t xml:space="preserve"> </w:t>
      </w:r>
      <w:r>
        <w:t xml:space="preserve">The framework distinguishes prescribed, observed, and intended process; existing standards represent intent once it is structured but do not recover it from natural communication, the capability we localize. The ACR is complementary to FHIR workflow resources, guidelines, and process mining; a companion feasibility study illustrates tractability for one narrow subproblem.</w:t>
      </w:r>
    </w:p>
    <w:p>
      <w:pPr>
        <w:pStyle w:val="BodyText"/>
        <w:ind w:left="720" w:right="720" w:firstLine="0"/>
        <w:jc w:val="both"/>
        <w:keepNext w:val="0"/>
        <w:keepLines w:val="0"/>
        <w:widowControl w:val="1"/>
      </w:pPr>
      <w:r>
        <w:t xml:space="preserve">Conclusion.</w:t>
      </w:r>
      <w:r>
        <w:t xml:space="preserve"> </w:t>
      </w:r>
      <w:r>
        <w:t xml:space="preserve">Computable clinical intent is a coherent research direction; the ACR, its readiness ladder, and an executable-correctness evaluation framework are reusable constructs for subsequent work to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is best analyzed through the computational objects it supports rather than the technologies it adopts.</w:t>
      </w:r>
      <w:r>
        <w:rPr>
          <w:vertAlign w:val="superscript"/>
        </w:rPr>
        <w:t xml:space="preserve">[1,2]</w:t>
      </w:r>
      <w:r>
        <w:t xml:space="preserve"> </w:t>
      </w:r>
      <w:r>
        <w:t xml:space="preserve">Organized this way, the field’s history is compact: the first generation made the clinical</w:t>
      </w:r>
      <w:r>
        <w:t xml:space="preserve"> </w:t>
      </w:r>
      <w:r>
        <w:rPr>
          <w:i/>
          <w:iCs/>
        </w:rPr>
        <w:t xml:space="preserve">record</w:t>
      </w:r>
      <w:r>
        <w:t xml:space="preserve"> </w:t>
      </w:r>
      <w:r>
        <w:t xml:space="preserve">computable, the second the clinical</w:t>
      </w:r>
      <w:r>
        <w:t xml:space="preserve"> </w:t>
      </w:r>
      <w:r>
        <w:rPr>
          <w:i/>
          <w:iCs/>
        </w:rPr>
        <w:t xml:space="preserve">fact</w:t>
      </w:r>
      <w:r>
        <w:t xml:space="preserve">, and a third, which we propose, makes patient-specific clinical</w:t>
      </w:r>
      <w:r>
        <w:t xml:space="preserve"> </w:t>
      </w:r>
      <w:r>
        <w:rPr>
          <w:i/>
          <w:iCs/>
        </w:rPr>
        <w:t xml:space="preserve">intent</w:t>
      </w:r>
      <w:r>
        <w:t xml:space="preserve"> </w:t>
      </w:r>
      <w:r>
        <w:t xml:space="preserve">computable from communication. We use</w:t>
      </w:r>
      <w:r>
        <w:t xml:space="preserve"> </w:t>
      </w:r>
      <w:r>
        <w:rPr>
          <w:i/>
          <w:iCs/>
        </w:rPr>
        <w:t xml:space="preserve">generation</w:t>
      </w:r>
      <w:r>
        <w:t xml:space="preserve"> </w:t>
      </w:r>
      <w:r>
        <w:t xml:space="preserve">for the emergence of a new computational layer; the layers accumulate rather than replace one another.</w:t>
      </w:r>
    </w:p>
    <w:p>
      <w:pPr>
        <w:pStyle w:val="BodyText"/>
        <w:jc w:val="both"/>
        <w:keepNext w:val="0"/>
        <w:keepLines w:val="0"/>
        <w:widowControl w:val="1"/>
      </w:pPr>
      <w:r>
        <w:t xml:space="preserve">A limitation persists after the first two layers are in place. When a clinician writes “repeat the complete blood count in two weeks” or “refer to cardiology if symptoms persist,” the instruction is decisive yet captured only as narrative text, its action, timing, condition, and owner outside the computable substrate. The cost is measurable: test-result follow-up often fails,</w:t>
      </w:r>
      <w:r>
        <w:rPr>
          <w:vertAlign w:val="superscript"/>
        </w:rPr>
        <w:t xml:space="preserve">[3]</w:t>
      </w:r>
      <w:r>
        <w:t xml:space="preserve"> </w:t>
      </w:r>
      <w:r>
        <w:t xml:space="preserve">in one large health system only about one-third of specialist referrals reached a completed visit,</w:t>
      </w:r>
      <w:r>
        <w:rPr>
          <w:vertAlign w:val="superscript"/>
        </w:rPr>
        <w:t xml:space="preserve">[4]</w:t>
      </w:r>
      <w:r>
        <w:t xml:space="preserve"> </w:t>
      </w:r>
      <w:r>
        <w:t xml:space="preserve">and such loop-closure failures, rooted in ambiguous responsibility and care-coordination breakdowns,</w:t>
      </w:r>
      <w:r>
        <w:rPr>
          <w:vertAlign w:val="superscript"/>
        </w:rPr>
        <w:t xml:space="preserve">[5]</w:t>
      </w:r>
      <w:r>
        <w:t xml:space="preserve"> </w:t>
      </w:r>
      <w:r>
        <w:t xml:space="preserve">contribute to diagnostic error and avoidable harm.</w:t>
      </w:r>
      <w:r>
        <w:rPr>
          <w:vertAlign w:val="superscript"/>
        </w:rPr>
        <w:t xml:space="preserve">[6,7,8,9]</w:t>
      </w:r>
    </w:p>
    <w:p>
      <w:pPr>
        <w:pStyle w:val="BodyText"/>
        <w:jc w:val="both"/>
        <w:keepNext w:val="0"/>
        <w:keepLines w:val="0"/>
        <w:widowControl w:val="1"/>
      </w:pPr>
      <w:r>
        <w:t xml:space="preserve">This Perspective offers a framework and vocabulary rather than a new empirical study: layer criteria and a three-layer organization (Section 2), the Actionable Clinical Record (ACR) as the third layer’s atomic object (Section 5), an executable-correctness evaluation framework and companion feasibility study (Section 7), and a research agenda (Section 8).</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The layers are</w:t>
      </w:r>
      <w:r>
        <w:t xml:space="preserve"> </w:t>
      </w:r>
      <w:r>
        <w:rPr>
          <w:i/>
          <w:iCs/>
        </w:rPr>
        <w:t xml:space="preserve">cumulative</w:t>
      </w:r>
      <w:r>
        <w:t xml:space="preserve">, each building on those beneath it (Figure 1), and differ in epistemic status: the first two are</w:t>
      </w:r>
      <w:r>
        <w:t xml:space="preserve"> </w:t>
      </w:r>
      <w:r>
        <w:rPr>
          <w:i/>
          <w:iCs/>
        </w:rPr>
        <w:t xml:space="preserve">retrospective abstractions</w:t>
      </w:r>
      <w:r>
        <w:t xml:space="preserve"> </w:t>
      </w:r>
      <w:r>
        <w:t xml:space="preserve">over a well-documented history,</w:t>
      </w:r>
      <w:r>
        <w:rPr>
          <w:vertAlign w:val="superscript"/>
        </w:rPr>
        <w:t xml:space="preserve">[1,2]</w:t>
      </w:r>
      <w:r>
        <w:t xml:space="preserve"> </w:t>
      </w:r>
      <w:r>
        <w:t xml:space="preserve">whereas the third is a</w:t>
      </w:r>
      <w:r>
        <w:t xml:space="preserve"> </w:t>
      </w:r>
      <w:r>
        <w:rPr>
          <w:i/>
          <w:iCs/>
        </w:rPr>
        <w:t xml:space="preserve">prospective hypothesis</w:t>
      </w:r>
      <w:r>
        <w:t xml:space="preserve">, offered as an analytic lens rather than an established periodization. The lens is complementary to the data–information–knowledge hierarchy</w:t>
      </w:r>
      <w:r>
        <w:rPr>
          <w:vertAlign w:val="superscript"/>
        </w:rPr>
        <w:t xml:space="preserve">[10]</w:t>
      </w:r>
      <w:r>
        <w:t xml:space="preserve"> </w:t>
      </w:r>
      <w:r>
        <w:t xml:space="preserve">and to digital-maturity models such as EMRAM,</w:t>
      </w:r>
      <w:r>
        <w:rPr>
          <w:vertAlign w:val="superscript"/>
        </w:rPr>
        <w:t xml:space="preserve">[11,12]</w:t>
      </w:r>
      <w:r>
        <w:t xml:space="preserve"> </w:t>
      </w:r>
      <w:r>
        <w:t xml:space="preserve">which measure adopted capability; our concern is</w:t>
      </w:r>
      <w:r>
        <w:t xml:space="preserve"> </w:t>
      </w:r>
      <w:r>
        <w:rPr>
          <w:i/>
          <w:iCs/>
        </w:rPr>
        <w:t xml:space="preserve">which</w:t>
      </w:r>
      <w:r>
        <w:t xml:space="preserve"> </w:t>
      </w:r>
      <w:r>
        <w:t xml:space="preserve">object becomes computable (Table 1).</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S7YXoV/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builds on the one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moved adoption to near-universal within a decade,</w:t>
      </w:r>
      <w:r>
        <w:rPr>
          <w:vertAlign w:val="superscript"/>
        </w:rPr>
        <w:t xml:space="preserve">[13,14]</w:t>
      </w:r>
      <w:r>
        <w:t xml:space="preserve"> </w:t>
      </w:r>
      <w:r>
        <w:t xml:space="preserve">extending the older problem-oriented-record ideal.</w:t>
      </w:r>
      <w:r>
        <w:rPr>
          <w:vertAlign w:val="superscript"/>
        </w:rPr>
        <w:t xml:space="preserve">[15]</w:t>
      </w:r>
      <w:r>
        <w:t xml:space="preserve"> </w:t>
      </w:r>
      <w:r>
        <w:t xml:space="preserve">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Its enabling stack was broad, not a single technique: structured data entry, controlled terminologies,</w:t>
      </w:r>
      <w:r>
        <w:rPr>
          <w:vertAlign w:val="superscript"/>
        </w:rPr>
        <w:t xml:space="preserve">[16]</w:t>
      </w:r>
      <w:r>
        <w:t xml:space="preserve"> </w:t>
      </w:r>
      <w:r>
        <w:t xml:space="preserve">computerized order entry, data warehouses, and interoperability standards</w:t>
      </w:r>
      <w:r>
        <w:rPr>
          <w:vertAlign w:val="superscript"/>
        </w:rPr>
        <w:t xml:space="preserve">[17,18]</w:t>
      </w:r>
      <w:r>
        <w:t xml:space="preserve"> </w:t>
      </w:r>
      <w:r>
        <w:t xml:space="preserve">mattered as much as language processing, one route by which narrative facts entered the semantic layer (MedLEE, cTAKES).</w:t>
      </w:r>
      <w:r>
        <w:rPr>
          <w:vertAlign w:val="superscript"/>
        </w:rPr>
        <w:t xml:space="preserve">[19,20]</w:t>
      </w:r>
      <w:r>
        <w:t xml:space="preserve"> </w:t>
      </w:r>
      <w:r>
        <w:t xml:space="preserve">These enabled the first broad wave of computation</w:t>
      </w:r>
      <w:r>
        <w:t xml:space="preserve"> </w:t>
      </w:r>
      <w:r>
        <w:rPr>
          <w:i/>
          <w:iCs/>
        </w:rPr>
        <w:t xml:space="preserve">on</w:t>
      </w:r>
      <w:r>
        <w:t xml:space="preserve"> </w:t>
      </w:r>
      <w:r>
        <w:t xml:space="preserve">clinical data: decision support, quality measurement, registries, and research.</w:t>
      </w:r>
      <w:r>
        <w:rPr>
          <w:vertAlign w:val="superscript"/>
        </w:rPr>
        <w:t xml:space="preserve">[21]</w:t>
      </w:r>
      <w:r>
        <w:t xml:space="preserve"> </w:t>
      </w:r>
      <w:r>
        <w:t xml:space="preserve">A tension remained: encoding meaning into structured fields captures facts, while much clinical reasoning and many intended actions remain expressed only in narrative.</w:t>
      </w:r>
      <w:r>
        <w:rPr>
          <w:vertAlign w:val="superscript"/>
        </w:rPr>
        <w:t xml:space="preserve">[22]</w:t>
      </w:r>
    </w:p>
    <w:bookmarkEnd w:id="16"/>
    <w:bookmarkStart w:id="17"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many patient-specific</w:t>
      </w:r>
      <w:r>
        <w:t xml:space="preserve"> </w:t>
      </w:r>
      <w:r>
        <w:rPr>
          <w:i/>
          <w:iCs/>
        </w:rPr>
        <w:t xml:space="preserve">intended actions</w:t>
      </w:r>
      <w:r>
        <w:t xml:space="preserve"> </w:t>
      </w:r>
      <w:r>
        <w:t xml:space="preserve">remain non-computable while they are expressed only in unstructured communication. Healthcare IT can represent process, but only once a person or system has structured it: FHIR can represent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Task</w:t>
      </w:r>
      <w:r>
        <w:t xml:space="preserve">, while</w:t>
      </w:r>
      <w:r>
        <w:t xml:space="preserve"> </w:t>
      </w:r>
      <w:r>
        <w:rPr>
          <w:i/>
          <w:iCs/>
        </w:rPr>
        <w:t xml:space="preserve">PlanDefinition</w:t>
      </w:r>
      <w:r>
        <w:t xml:space="preserve"> </w:t>
      </w:r>
      <w:r>
        <w:t xml:space="preserve">defines reusable protocols that are instantiated per patient;</w:t>
      </w:r>
      <w:r>
        <w:rPr>
          <w:vertAlign w:val="superscript"/>
        </w:rPr>
        <w:t xml:space="preserve">[17]</w:t>
      </w:r>
      <w:r>
        <w:t xml:space="preserve"> </w:t>
      </w:r>
      <w:r>
        <w:t xml:space="preserve">computer-interpretable guidelines and care-pathway models encode executable protocols;</w:t>
      </w:r>
      <w:r>
        <w:rPr>
          <w:vertAlign w:val="superscript"/>
        </w:rPr>
        <w:t xml:space="preserve">[23,24,25]</w:t>
      </w:r>
      <w:r>
        <w:t xml:space="preserve"> </w:t>
      </w:r>
      <w:r>
        <w:t xml:space="preserve">and process mining reconstructs pathways from event logs.</w:t>
      </w:r>
      <w:r>
        <w:rPr>
          <w:vertAlign w:val="superscript"/>
        </w:rPr>
        <w:t xml:space="preserve">[26,27]</w:t>
      </w:r>
      <w:r>
        <w:t xml:space="preserve"> </w:t>
      </w:r>
      <w:r>
        <w:t xml:space="preserve">These paradigms are complementary and often provide the infrastructure to operationalize its outputs. The gap is isolated by distinguishing three kinds of process information (Table 2):</w:t>
      </w:r>
      <w:r>
        <w:t xml:space="preserve"> </w:t>
      </w:r>
      <w:r>
        <w:rPr>
          <w:i/>
          <w:iCs/>
        </w:rPr>
        <w:t xml:space="preserve">prescribed</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often expressed in communication rather than structured directly. Existing paradigms represent and operationalize intended process once it has been structured, but none recovers it from unstructured communication; that recovery, and its conversion into executable form, is the subject of the third layer.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represented once structured (FHIR); recovery from communication proposed here</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categories describe the semantic status of a process statement, not exclusive source types. The proposed third layer targets recovery of patient-specific intended process that remains expressed in natural communication.</w:t>
      </w:r>
    </w:p>
    <w:bookmarkEnd w:id="17"/>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We propose that the third layer makes patient-specific clinical intent computable by recovering it from communication as a structured, executable representation, using one terminology throughout: clinical</w:t>
      </w:r>
      <w:r>
        <w:t xml:space="preserve"> </w:t>
      </w:r>
      <w:r>
        <w:rPr>
          <w:i/>
          <w:iCs/>
        </w:rPr>
        <w:t xml:space="preserve">communication</w:t>
      </w:r>
      <w:r>
        <w:t xml:space="preserve"> </w:t>
      </w:r>
      <w:r>
        <w:t xml:space="preserve">may express</w:t>
      </w:r>
      <w:r>
        <w:t xml:space="preserve"> </w:t>
      </w:r>
      <w:r>
        <w:rPr>
          <w:i/>
          <w:iCs/>
        </w:rPr>
        <w:t xml:space="preserve">intent</w:t>
      </w:r>
      <w:r>
        <w:t xml:space="preserve">; an intent decomposes into intended</w:t>
      </w:r>
      <w:r>
        <w:t xml:space="preserve"> </w:t>
      </w:r>
      <w:r>
        <w:rPr>
          <w:i/>
          <w:iCs/>
        </w:rPr>
        <w:t xml:space="preserve">actions</w:t>
      </w:r>
      <w:r>
        <w:t xml:space="preserve">; each action is an</w:t>
      </w:r>
      <w:r>
        <w:t xml:space="preserve"> </w:t>
      </w:r>
      <w:r>
        <w:rPr>
          <w:i/>
          <w:iCs/>
        </w:rPr>
        <w:t xml:space="preserve">Actionable Clinical Record</w:t>
      </w:r>
      <w:r>
        <w:t xml:space="preserve">; a set of ACRs and related events is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with the semantic attributes required to interpret, execute, monitor, or audit it: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w:t>
      </w:r>
      <w:r>
        <w:t xml:space="preserve"> </w:t>
      </w:r>
      <w:r>
        <w:rPr>
          <w:i/>
          <w:iCs/>
        </w:rPr>
        <w:t xml:space="preserve">target</w:t>
      </w:r>
      <w:r>
        <w:t xml:space="preserve">,</w:t>
      </w:r>
      <w:r>
        <w:t xml:space="preserve"> </w:t>
      </w:r>
      <w:r>
        <w:rPr>
          <w:i/>
          <w:iCs/>
        </w:rPr>
        <w:t xml:space="preserve">actor</w:t>
      </w:r>
      <w:r>
        <w:t xml:space="preserve">,</w:t>
      </w:r>
      <w:r>
        <w:t xml:space="preserve"> </w:t>
      </w:r>
      <w:r>
        <w:rPr>
          <w:i/>
          <w:iCs/>
        </w:rPr>
        <w:t xml:space="preserve">temporal constraint</w:t>
      </w:r>
      <w:r>
        <w:t xml:space="preserve">,</w:t>
      </w:r>
      <w:r>
        <w:t xml:space="preserve"> </w:t>
      </w:r>
      <w:r>
        <w:rPr>
          <w:i/>
          <w:iCs/>
        </w:rPr>
        <w:t xml:space="preserve">condition</w:t>
      </w:r>
      <w:r>
        <w:t xml:space="preserve">, and</w:t>
      </w:r>
      <w:r>
        <w:t xml:space="preserve"> </w:t>
      </w:r>
      <w:r>
        <w:rPr>
          <w:i/>
          <w:iCs/>
        </w:rPr>
        <w:t xml:space="preserve">dependency</w:t>
      </w:r>
      <w:r>
        <w:t xml:space="preserve"> </w:t>
      </w:r>
      <w:r>
        <w:t xml:space="preserve">are populated when communicated; and</w:t>
      </w:r>
      <w:r>
        <w:t xml:space="preserve"> </w:t>
      </w:r>
      <w:r>
        <w:rPr>
          <w:i/>
          <w:iCs/>
        </w:rPr>
        <w:t xml:space="preserve">confidence</w:t>
      </w:r>
      <w:r>
        <w:t xml:space="preserve"> </w:t>
      </w:r>
      <w:r>
        <w:t xml:space="preserve">records recovery-system uncertainty on inferred attributes.</w:t>
      </w:r>
    </w:p>
    <w:p>
      <w:pPr>
        <w:pStyle w:val="BodyText"/>
        <w:jc w:val="both"/>
        <w:keepNext w:val="0"/>
        <w:keepLines w:val="0"/>
        <w:widowControl w:val="1"/>
      </w:pPr>
      <w:r>
        <w:t xml:space="preserve">The attributes are defined semantically (Figure 2). The</w:t>
      </w:r>
      <w:r>
        <w:t xml:space="preserve"> </w:t>
      </w:r>
      <w:r>
        <w:rPr>
          <w:i/>
          <w:iCs/>
        </w:rPr>
        <w:t xml:space="preserve">temporal constraint</w:t>
      </w:r>
      <w:r>
        <w:t xml:space="preserve"> </w:t>
      </w:r>
      <w:r>
        <w:t xml:space="preserve">is a normalized time semantics rather than a date alone, admitting absolute, relative, event-anchored, and recurring forms;</w:t>
      </w:r>
      <w:r>
        <w:t xml:space="preserve"> </w:t>
      </w:r>
      <w:r>
        <w:rPr>
          <w:i/>
          <w:iCs/>
        </w:rPr>
        <w:t xml:space="preserve">provenance</w:t>
      </w:r>
      <w:r>
        <w:t xml:space="preserve"> </w:t>
      </w:r>
      <w:r>
        <w:t xml:space="preserve">grounds the record in its source span, speaker, and encounter; and</w:t>
      </w:r>
      <w:r>
        <w:t xml:space="preserve"> </w:t>
      </w:r>
      <w:r>
        <w:rPr>
          <w:i/>
          <w:iCs/>
        </w:rPr>
        <w:t xml:space="preserve">confidence</w:t>
      </w:r>
      <w:r>
        <w:t xml:space="preserve">, a calibrated per-attribute uncertainty, routes uncertain records to review.</w:t>
      </w:r>
      <w:r>
        <w:t xml:space="preserve"> </w:t>
      </w:r>
      <w:r>
        <w:rPr>
          <w:i/>
          <w:iCs/>
        </w:rPr>
        <w:t xml:space="preserve">Target</w:t>
      </w:r>
      <w:r>
        <w:t xml:space="preserve"> </w:t>
      </w:r>
      <w:r>
        <w:t xml:space="preserve">links to a layer-2 coded concept, and</w:t>
      </w:r>
      <w:r>
        <w:t xml:space="preserve"> </w:t>
      </w:r>
      <w:r>
        <w:rPr>
          <w:i/>
          <w:iCs/>
        </w:rPr>
        <w:t xml:space="preserve">dependency</w:t>
      </w:r>
      <w:r>
        <w:t xml:space="preserve"> </w:t>
      </w:r>
      <w:r>
        <w:t xml:space="preserve">encodes ordering.</w:t>
      </w:r>
    </w:p>
    <w:p>
      <w:pPr>
        <w:pStyle w:val="BodyText"/>
        <w:jc w:val="center"/>
        <w:keepNext/>
        <w:keepLines/>
        <w:widowControl w:val="1"/>
      </w:pPr>
      <w:r>
        <w:drawing>
          <wp:inline>
            <wp:extent cx="5943600" cy="932602"/>
            <wp:effectExtent b="0" l="0" r="0" t="0"/>
            <wp:docPr descr="" title="" id="19" name="Picture"/>
            <a:graphic>
              <a:graphicData uri="http://schemas.openxmlformats.org/drawingml/2006/picture">
                <pic:pic>
                  <pic:nvPicPr>
                    <pic:cNvPr descr="E:/tmp/html2doc_svg_S7YXoV/svg_1.png" id="20" name="Picture"/>
                    <pic:cNvPicPr>
                      <a:picLocks noChangeArrowheads="1" noChangeAspect="1"/>
                    </pic:cNvPicPr>
                  </pic:nvPicPr>
                  <pic:blipFill>
                    <a:blip r:embed="rId18"/>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spans two distinct axes that together prevent over- and under-claiming. A representational</w:t>
      </w:r>
      <w:r>
        <w:t xml:space="preserve"> </w:t>
      </w:r>
      <w:r>
        <w:rPr>
          <w:i/>
          <w:iCs/>
        </w:rPr>
        <w:t xml:space="preserve">readiness</w:t>
      </w:r>
      <w:r>
        <w:t xml:space="preserve"> </w:t>
      </w:r>
      <w:r>
        <w:t xml:space="preserve">ladder runs</w:t>
      </w:r>
      <w:r>
        <w:t xml:space="preserve"> </w:t>
      </w:r>
      <w:r>
        <w:rPr>
          <w:i/>
          <w:iCs/>
        </w:rPr>
        <w:t xml:space="preserve">mentioned → interpreted → actionable → executable</w:t>
      </w:r>
      <w:r>
        <w:t xml:space="preserve">: recognizing that “complete blood count” appears in a note belongs to layer 2; extracting “repeat complete blood count” is a partial step; adding “two weeks” and a responsible actor makes it actionable; resolving a due date and a workflow object makes it executable. Separately, the ACR’s</w:t>
      </w:r>
      <w:r>
        <w:t xml:space="preserve"> </w:t>
      </w:r>
      <w:r>
        <w:rPr>
          <w:i/>
          <w:iCs/>
        </w:rPr>
        <w:t xml:space="preserve">status</w:t>
      </w:r>
      <w:r>
        <w:t xml:space="preserve"> </w:t>
      </w:r>
      <w:r>
        <w:t xml:space="preserve">attribute records the operational lifecycle of the recovered action, from</w:t>
      </w:r>
      <w:r>
        <w:t xml:space="preserve"> </w:t>
      </w:r>
      <w:r>
        <w:rPr>
          <w:i/>
          <w:iCs/>
        </w:rPr>
        <w:t xml:space="preserve">recovered</w:t>
      </w:r>
      <w:r>
        <w:t xml:space="preserve"> </w:t>
      </w:r>
      <w:r>
        <w:t xml:space="preserve">and</w:t>
      </w:r>
      <w:r>
        <w:t xml:space="preserve"> </w:t>
      </w:r>
      <w:r>
        <w:rPr>
          <w:i/>
          <w:iCs/>
        </w:rPr>
        <w:t xml:space="preserve">confirmed</w:t>
      </w:r>
      <w:r>
        <w:t xml:space="preserve"> </w:t>
      </w:r>
      <w:r>
        <w:t xml:space="preserve">to</w:t>
      </w:r>
      <w:r>
        <w:t xml:space="preserve"> </w:t>
      </w:r>
      <w:r>
        <w:rPr>
          <w:i/>
          <w:iCs/>
        </w:rPr>
        <w:t xml:space="preserve">active</w:t>
      </w:r>
      <w:r>
        <w:t xml:space="preserve"> </w:t>
      </w:r>
      <w:r>
        <w:t xml:space="preserve">and then</w:t>
      </w:r>
      <w:r>
        <w:t xml:space="preserve"> </w:t>
      </w:r>
      <w:r>
        <w:rPr>
          <w:i/>
          <w:iCs/>
        </w:rPr>
        <w:t xml:space="preserve">completed</w:t>
      </w:r>
      <w:r>
        <w:t xml:space="preserve"> </w:t>
      </w:r>
      <w:r>
        <w:t xml:space="preserve">or</w:t>
      </w:r>
      <w:r>
        <w:t xml:space="preserve"> </w:t>
      </w:r>
      <w:r>
        <w:rPr>
          <w:i/>
          <w:iCs/>
        </w:rPr>
        <w:t xml:space="preserve">cancelled</w:t>
      </w:r>
      <w:r>
        <w:t xml:space="preserve">, without changing its representational readiness; detecting completion or escalation closes the loop.</w:t>
      </w:r>
    </w:p>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rather than a replacement electronic health record (Figure 3). Its inputs are the range of clinical communication (discharge instructions, conversation, handovers, referrals, messages, calls, transcripts); its output is a set of ACRs that maps onto infrastructure the field already has.</w:t>
      </w:r>
      <w:r>
        <w:rPr>
          <w:vertAlign w:val="superscript"/>
        </w:rPr>
        <w:t xml:space="preserve">[17,28]</w:t>
      </w:r>
      <w:r>
        <w:t xml:space="preserve"> </w:t>
      </w:r>
      <w:r>
        <w:t xml:space="preserve">The mapping situates the ACR</w:t>
      </w:r>
      <w:r>
        <w:t xml:space="preserve"> </w:t>
      </w:r>
      <w:r>
        <w:rPr>
          <w:i/>
          <w:iCs/>
        </w:rPr>
        <w:t xml:space="preserve">upstream</w:t>
      </w:r>
      <w:r>
        <w:t xml:space="preserve"> </w:t>
      </w:r>
      <w:r>
        <w:t xml:space="preserve">of these resources rather than as a competitor, translating attributes into workflow elements according to the target resource and profile: for example,</w:t>
      </w:r>
      <w:r>
        <w:t xml:space="preserve"> </w:t>
      </w:r>
      <w:r>
        <w:rPr>
          <w:i/>
          <w:iCs/>
        </w:rPr>
        <w:t xml:space="preserve">action</w:t>
      </w:r>
      <w:r>
        <w:t xml:space="preserve"> </w:t>
      </w:r>
      <w:r>
        <w:t xml:space="preserve">and</w:t>
      </w:r>
      <w:r>
        <w:t xml:space="preserve"> </w:t>
      </w:r>
      <w:r>
        <w:rPr>
          <w:i/>
          <w:iCs/>
        </w:rPr>
        <w:t xml:space="preserve">target</w:t>
      </w:r>
      <w:r>
        <w:t xml:space="preserve"> </w:t>
      </w:r>
      <w:r>
        <w:t xml:space="preserve">into a</w:t>
      </w:r>
      <w:r>
        <w:t xml:space="preserve"> </w:t>
      </w:r>
      <w:r>
        <w:rPr>
          <w:i/>
          <w:iCs/>
        </w:rPr>
        <w:t xml:space="preserve">Task</w:t>
      </w:r>
      <w:r>
        <w:t xml:space="preserve"> </w:t>
      </w:r>
      <w:r>
        <w:t xml:space="preserve">or</w:t>
      </w:r>
      <w:r>
        <w:t xml:space="preserve"> </w:t>
      </w:r>
      <w:r>
        <w:rPr>
          <w:i/>
          <w:iCs/>
        </w:rPr>
        <w:t xml:space="preserve">ServiceRequest</w:t>
      </w:r>
      <w:r>
        <w:t xml:space="preserve">,</w:t>
      </w:r>
      <w:r>
        <w:t xml:space="preserve"> </w:t>
      </w:r>
      <w:r>
        <w:rPr>
          <w:i/>
          <w:iCs/>
        </w:rPr>
        <w:t xml:space="preserve">temporal constraint</w:t>
      </w:r>
      <w:r>
        <w:t xml:space="preserve"> </w:t>
      </w:r>
      <w:r>
        <w:t xml:space="preserve">into the resource-appropriate timing element,</w:t>
      </w:r>
      <w:r>
        <w:t xml:space="preserve"> </w:t>
      </w:r>
      <w:r>
        <w:rPr>
          <w:i/>
          <w:iCs/>
        </w:rPr>
        <w:t xml:space="preserve">actor</w:t>
      </w:r>
      <w:r>
        <w:t xml:space="preserve"> </w:t>
      </w:r>
      <w:r>
        <w:t xml:space="preserve">into performer or owner semantics, and</w:t>
      </w:r>
      <w:r>
        <w:t xml:space="preserve"> </w:t>
      </w:r>
      <w:r>
        <w:rPr>
          <w:i/>
          <w:iCs/>
        </w:rPr>
        <w:t xml:space="preserve">dependency</w:t>
      </w:r>
      <w:r>
        <w:t xml:space="preserve"> </w:t>
      </w:r>
      <w:r>
        <w:t xml:space="preserve">into</w:t>
      </w:r>
      <w:r>
        <w:t xml:space="preserve"> </w:t>
      </w:r>
      <w:r>
        <w:rPr>
          <w:i/>
          <w:iCs/>
        </w:rPr>
        <w:t xml:space="preserve">basedOn</w:t>
      </w:r>
      <w:r>
        <w:t xml:space="preserve">/</w:t>
      </w:r>
      <w:r>
        <w:rPr>
          <w:i/>
          <w:iCs/>
        </w:rPr>
        <w:t xml:space="preserve">partOf</w:t>
      </w:r>
      <w:r>
        <w:t xml:space="preserve"> </w:t>
      </w:r>
      <w:r>
        <w:t xml:space="preserve">links. Recovery</w:t>
      </w:r>
      <w:r>
        <w:t xml:space="preserve"> </w:t>
      </w:r>
      <w:r>
        <w:rPr>
          <w:i/>
          <w:iCs/>
        </w:rPr>
        <w:t xml:space="preserve">provenance</w:t>
      </w:r>
      <w:r>
        <w:t xml:space="preserve"> </w:t>
      </w:r>
      <w:r>
        <w:t xml:space="preserve">can itself be represented with a FHIR</w:t>
      </w:r>
      <w:r>
        <w:t xml:space="preserve"> </w:t>
      </w:r>
      <w:r>
        <w:rPr>
          <w:i/>
          <w:iCs/>
        </w:rPr>
        <w:t xml:space="preserve">Provenance</w:t>
      </w:r>
      <w:r>
        <w:t xml:space="preserve"> </w:t>
      </w:r>
      <w:r>
        <w:t xml:space="preserve">resource or profile, while</w:t>
      </w:r>
      <w:r>
        <w:t xml:space="preserve"> </w:t>
      </w:r>
      <w:r>
        <w:rPr>
          <w:i/>
          <w:iCs/>
        </w:rPr>
        <w:t xml:space="preserve">confidence</w:t>
      </w:r>
      <w:r>
        <w:t xml:space="preserve"> </w:t>
      </w:r>
      <w:r>
        <w:t xml:space="preserve">generally remains metadata of the recovery system. Existing systems execute such instructions once structured; the third layer recovers them from communication.</w:t>
      </w:r>
    </w:p>
    <w:p>
      <w:pPr>
        <w:pStyle w:val="BodyText"/>
        <w:jc w:val="center"/>
        <w:keepNext/>
        <w:keepLines/>
        <w:widowControl w:val="1"/>
      </w:pPr>
      <w:r>
        <w:drawing>
          <wp:inline>
            <wp:extent cx="5943600" cy="1585251"/>
            <wp:effectExtent b="0" l="0" r="0" t="0"/>
            <wp:docPr descr="" title="" id="23" name="Picture"/>
            <a:graphic>
              <a:graphicData uri="http://schemas.openxmlformats.org/drawingml/2006/picture">
                <pic:pic>
                  <pic:nvPicPr>
                    <pic:cNvPr descr="E:/tmp/html2doc_svg_S7YXoV/svg_2.png" id="24" name="Picture"/>
                    <pic:cNvPicPr>
                      <a:picLocks noChangeArrowheads="1" noChangeAspect="1"/>
                    </pic:cNvPicPr>
                  </pic:nvPicPr>
                  <pic:blipFill>
                    <a:blip r:embed="rId22"/>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p>
      <w:pPr>
        <w:pStyle w:val="BodyText"/>
        <w:jc w:val="both"/>
        <w:keepNext w:val="0"/>
        <w:keepLines w:val="0"/>
        <w:widowControl w:val="1"/>
      </w:pPr>
      <w:r>
        <w:t xml:space="preserve">Follow-up is the most-documented case, but it is one of a broader class of communication-derived process objects sharing the ACR representation: conditional escalation, medication transitions, handoff commitments, referrals, pending-result responsibility, and patient self-management. Ambient documentation and recent shared tasks extract structured orders directly from clinical conversations,</w:t>
      </w:r>
      <w:r>
        <w:rPr>
          <w:vertAlign w:val="superscript"/>
        </w:rPr>
        <w:t xml:space="preserve">[29,30]</w:t>
      </w:r>
      <w:r>
        <w:t xml:space="preserve"> </w:t>
      </w:r>
      <w:r>
        <w:t xml:space="preserve">showing these channels carry actionable content.</w:t>
      </w:r>
    </w:p>
    <w:bookmarkEnd w:id="25"/>
    <w:bookmarkStart w:id="26" w:name="relation-to-existing-paradigms"/>
    <w:p>
      <w:pPr>
        <w:pStyle w:val="Heading3"/>
        <w:keepNext/>
        <w:keepLines/>
        <w:widowControl w:val="1"/>
      </w:pPr>
      <w:r>
        <w:t xml:space="preserve">5.3 Relation to existing paradigms</w:t>
      </w:r>
    </w:p>
    <w:p>
      <w:pPr>
        <w:pStyle w:val="FirstParagraph"/>
        <w:jc w:val="both"/>
        <w:keepNext w:val="0"/>
        <w:keepLines w:val="0"/>
        <w:widowControl w:val="1"/>
      </w:pPr>
      <w:r>
        <w:t xml:space="preserve">Two mature lines can be mistaken for the third layer. Clinical NLP already extracts concepts, relations, events, temporality, and follow-up recommendations, increasingly with language models,</w:t>
      </w:r>
      <w:r>
        <w:rPr>
          <w:vertAlign w:val="superscript"/>
        </w:rPr>
        <w:t xml:space="preserve">[19,20,31,32,33,34,35,36]</w:t>
      </w:r>
      <w:r>
        <w:t xml:space="preserve"> </w:t>
      </w:r>
      <w:r>
        <w:t xml:space="preserve">and directly extracts physician action items and medical decisions from clinical notes.</w:t>
      </w:r>
      <w:r>
        <w:rPr>
          <w:vertAlign w:val="superscript"/>
        </w:rPr>
        <w:t xml:space="preserve">[37,38]</w:t>
      </w:r>
      <w:r>
        <w:t xml:space="preserve"> </w:t>
      </w:r>
      <w:r>
        <w:t xml:space="preserve">Even order extraction from conversation targets a flat schema scored by text overlap;</w:t>
      </w:r>
      <w:r>
        <w:rPr>
          <w:vertAlign w:val="superscript"/>
        </w:rPr>
        <w:t xml:space="preserve">[30]</w:t>
      </w:r>
      <w:r>
        <w:t xml:space="preserve"> </w:t>
      </w:r>
      <w:r>
        <w:t xml:space="preserve">the distinction the ACR draws is operational, requiring that a recovered action be source-grounded, temporally normalized, and carry the actor, condition, and dependency structure needed to execute rather than only index it. Computer-interpretable guidelines encode generic, population-level protocols;</w:t>
      </w:r>
      <w:r>
        <w:rPr>
          <w:vertAlign w:val="superscript"/>
        </w:rPr>
        <w:t xml:space="preserve">[23,24]</w:t>
      </w:r>
      <w:r>
        <w:t xml:space="preserve"> </w:t>
      </w:r>
      <w:r>
        <w:t xml:space="preserve">the third layer recovers patient-specific records from a particular encounter, capturing what a clinician instructed for this patient.</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generator does not remove the requirements the third layer imposes: auditability, verifiable temporal correctness, and a calibrated signal of when to defer are properties of the output contract, not of model capability. General-purpose models interpret clinical language well</w:t>
      </w:r>
      <w:r>
        <w:rPr>
          <w:vertAlign w:val="superscript"/>
        </w:rPr>
        <w:t xml:space="preserve">[39]</w:t>
      </w:r>
      <w:r>
        <w:t xml:space="preserve"> </w:t>
      </w:r>
      <w:r>
        <w:t xml:space="preserve">but can produce unreliable or unsupported outputs;</w:t>
      </w:r>
      <w:r>
        <w:rPr>
          <w:vertAlign w:val="superscript"/>
        </w:rPr>
        <w:t xml:space="preserve">[40]</w:t>
      </w:r>
      <w:r>
        <w:t xml:space="preserve"> </w:t>
      </w:r>
      <w:r>
        <w:t xml:space="preserve">this matters most in binding an action to its time and normalizing it into an executable schedule, a setting where general-purpose temporal reasoning is known to be weak.</w:t>
      </w:r>
      <w:r>
        <w:rPr>
          <w:vertAlign w:val="superscript"/>
        </w:rPr>
        <w:t xml:space="preserve">[41]</w:t>
      </w:r>
    </w:p>
    <w:p>
      <w:pPr>
        <w:pStyle w:val="BodyText"/>
        <w:jc w:val="both"/>
        <w:keepNext w:val="0"/>
        <w:keepLines w:val="0"/>
        <w:widowControl w:val="1"/>
      </w:pPr>
      <w:r>
        <w:t xml:space="preserve">These requirements motivate a hybrid decomposition in which learned components interpret and explicit components enforce verifiable structure.</w:t>
      </w:r>
      <w:r>
        <w:rPr>
          <w:vertAlign w:val="superscript"/>
        </w:rPr>
        <w:t xml:space="preserve">[42,43]</w:t>
      </w:r>
      <w:r>
        <w:t xml:space="preserve"> </w:t>
      </w:r>
      <w:r>
        <w:t xml:space="preserve">Because some workflow semantics (calendar arithmetic, dependency ordering, status transitions) are formally specified, learned extraction supplies candidate actions and arguments</w:t>
      </w:r>
      <w:r>
        <w:rPr>
          <w:vertAlign w:val="superscript"/>
        </w:rPr>
        <w:t xml:space="preserve">[44]</w:t>
      </w:r>
      <w:r>
        <w:t xml:space="preserve"> </w:t>
      </w:r>
      <w:r>
        <w:t xml:space="preserve">while deterministic reasoning resolves times and due dates</w:t>
      </w:r>
      <w:r>
        <w:rPr>
          <w:vertAlign w:val="superscript"/>
        </w:rPr>
        <w:t xml:space="preserve">[45,46,47,48]</w:t>
      </w:r>
      <w:r>
        <w:t xml:space="preserve"> </w:t>
      </w:r>
      <w:r>
        <w:t xml:space="preserve">and selective prediction routes uncertain cases to a clinician. The requirements can be stated as invariants: every acted-upon record traces to a source span, speaker, and encounter;</w:t>
      </w:r>
      <w:r>
        <w:rPr>
          <w:vertAlign w:val="superscript"/>
        </w:rPr>
        <w:t xml:space="preserve">[49]</w:t>
      </w:r>
      <w:r>
        <w:t xml:space="preserve"> </w:t>
      </w:r>
      <w:r>
        <w:t xml:space="preserve">deterministic semantics are computed, not generated; each inferred attribute carries a calibrated confidence; the system may abstain; higher-consequence actions receive tighter human review;</w:t>
      </w:r>
      <w:r>
        <w:rPr>
          <w:vertAlign w:val="superscript"/>
        </w:rPr>
        <w:t xml:space="preserve">[50]</w:t>
      </w:r>
      <w:r>
        <w:t xml:space="preserve"> </w:t>
      </w:r>
      <w:r>
        <w:t xml:space="preserve">an immutable trace links communication to action for audit;</w:t>
      </w:r>
      <w:r>
        <w:rPr>
          <w:vertAlign w:val="superscript"/>
        </w:rPr>
        <w:t xml:space="preserve">[51]</w:t>
      </w:r>
      <w:r>
        <w:t xml:space="preserve"> </w:t>
      </w:r>
      <w:r>
        <w:t xml:space="preserve">and extracted content stays distinct from inferred. Human confirmation is the default until task-specific calibration and prospective safety evidence justify higher automation.</w:t>
      </w:r>
    </w:p>
    <w:bookmarkEnd w:id="28"/>
    <w:bookmarkStart w:id="29"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the third layer acts, it should be evaluated on</w:t>
      </w:r>
      <w:r>
        <w:t xml:space="preserve"> </w:t>
      </w:r>
      <w:r>
        <w:rPr>
          <w:i/>
          <w:iCs/>
        </w:rPr>
        <w:t xml:space="preserve">executable correctness</w:t>
      </w:r>
      <w:r>
        <w:t xml:space="preserve"> </w:t>
      </w:r>
      <w:r>
        <w:t xml:space="preserve">rather than text overlap. We propose an evaluation framework for ACR recovery whose measures are reported separately: action detection; argument extraction; action–time, condition, and actor linking; temporal-normalization error; whole-record exact match; unsupported- and omitted-action rates; calibration and selective-risk behavior; and source-provenance accuracy. These assess ACR recovery; loop-closure outcome, a downstream operational endpoint shaped by implementation and workflow rather than recovery correctness, is reported separately. This framework, not any single score, is the contribution we intend others to adopt.</w:t>
      </w:r>
    </w:p>
    <w:p>
      <w:pPr>
        <w:pStyle w:val="BodyText"/>
        <w:jc w:val="both"/>
        <w:keepNext w:val="0"/>
        <w:keepLines w:val="0"/>
        <w:widowControl w:val="1"/>
      </w:pPr>
      <w:r>
        <w:t xml:space="preserve">A companion study offers a formative feasibility test of one minimal task, follow-up-instruction extraction, evaluating a hybrid neural-symbolic pipeline on a controlled benchmark against generative baselines.</w:t>
      </w:r>
      <w:r>
        <w:rPr>
          <w:vertAlign w:val="superscript"/>
        </w:rPr>
        <w:t xml:space="preserve">[52]</w:t>
      </w:r>
      <w:r>
        <w:t xml:space="preserve"> </w:t>
      </w:r>
      <w:r>
        <w:t xml:space="preserve">On the action–time pairing the executable representation requires, the hybrid pipeline substantially outperforms general-purpose language models, which recognize actions but bind them to times unreliably. This is an existence proof for one narrow subproblem, not evidence for the framework, whose value rests on the constructs it defines.</w:t>
      </w:r>
    </w:p>
    <w:bookmarkEnd w:id="29"/>
    <w:bookmarkStart w:id="30" w:name="research-agenda"/>
    <w:p>
      <w:pPr>
        <w:pStyle w:val="Heading2"/>
        <w:keepNext/>
        <w:keepLines/>
        <w:widowControl w:val="1"/>
      </w:pPr>
      <w:r>
        <w:t xml:space="preserve">8. Research Agenda</w:t>
      </w:r>
    </w:p>
    <w:p>
      <w:pPr>
        <w:pStyle w:val="FirstParagraph"/>
        <w:jc w:val="both"/>
        <w:keepNext w:val="0"/>
        <w:keepLines w:val="0"/>
        <w:widowControl w:val="1"/>
      </w:pPr>
      <w:r>
        <w:t xml:space="preserve">The framework defines a program in four domains.</w:t>
      </w:r>
      <w:r>
        <w:t xml:space="preserve"> </w:t>
      </w:r>
      <w:r>
        <w:rPr>
          <w:b/>
          <w:bCs/>
        </w:rPr>
        <w:t xml:space="preserve">Representation:</w:t>
      </w:r>
      <w:r>
        <w:t xml:space="preserve"> </w:t>
      </w:r>
      <w:r>
        <w:t xml:space="preserve">a consensus ACR ontology, with attribute semantics, constraint types,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distinguishing patient from clinician intent, and separating who spoke from who is responsible for acting.</w:t>
      </w:r>
      <w:r>
        <w:t xml:space="preserve"> </w:t>
      </w:r>
      <w:r>
        <w:rPr>
          <w:b/>
          <w:bCs/>
        </w:rPr>
        <w:t xml:space="preserve">Evaluation:</w:t>
      </w:r>
      <w:r>
        <w:t xml:space="preserve"> </w:t>
      </w:r>
      <w:r>
        <w:t xml:space="preserve">authentic-data benchmarks, the framework of Section 7 across tasks, and cross-institution and cross-language generalization.</w:t>
      </w:r>
      <w:r>
        <w:t xml:space="preserve"> </w:t>
      </w:r>
      <w:r>
        <w:rPr>
          <w:b/>
          <w:bCs/>
        </w:rPr>
        <w:t xml:space="preserve">Integration and impact:</w:t>
      </w:r>
      <w:r>
        <w:t xml:space="preserve"> </w:t>
      </w:r>
      <w:r>
        <w:t xml:space="preserve">ACR-to-FHIR write-back into scheduling, results-management, and referral systems,</w:t>
      </w:r>
      <w:r>
        <w:rPr>
          <w:vertAlign w:val="superscript"/>
        </w:rPr>
        <w:t xml:space="preserve">[17,23]</w:t>
      </w:r>
      <w:r>
        <w:t xml:space="preserve"> </w:t>
      </w:r>
      <w:r>
        <w:t xml:space="preserve">review-queue design, regulatory classification, and whether closed-loop operation improves outcomes.</w:t>
      </w:r>
    </w:p>
    <w:p>
      <w:pPr>
        <w:pStyle w:val="BodyText"/>
        <w:jc w:val="both"/>
        <w:keepNext w:val="0"/>
        <w:keepLines w:val="0"/>
        <w:widowControl w:val="1"/>
      </w:pPr>
      <w:r>
        <w:t xml:space="preserve">Moving from synthetic corpora to de-identified real-world notes across languages and documentation styles is the central empirical risk, and safe deployment presupposes the invariants of Section 6. The proposal makes testable predictions: machine-actionable use of FHIR workflow resources should grow relative to free-text follow-up; evaluation should shift toward executable-correctness measures; reliable systems should expose source-linked, auditable records with selective review; and ambient documentation should extend from notes to tasks and orders.</w:t>
      </w:r>
      <w:r>
        <w:rPr>
          <w:vertAlign w:val="superscript"/>
        </w:rPr>
        <w:t xml:space="preserve">[29,53,54]</w:t>
      </w:r>
      <w:r>
        <w:t xml:space="preserve"> </w:t>
      </w:r>
      <w:r>
        <w:t xml:space="preserve">More decisively, the ACR is redundant if, across communication-derived task classes, direct mapping into existing workflow standards represents the required action, actor, temporal, conditional, dependency, provenance, and uncertainty semantics without ACR-specific distinctions, and standard extraction metrics discriminate operationally unsafe outputs as well as the proposed executable-correctness measures.</w:t>
      </w:r>
    </w:p>
    <w:bookmarkEnd w:id="30"/>
    <w:bookmarkStart w:id="31" w:name="conclusion"/>
    <w:p>
      <w:pPr>
        <w:pStyle w:val="Heading2"/>
        <w:keepNext/>
        <w:keepLines/>
        <w:widowControl w:val="1"/>
      </w:pPr>
      <w:r>
        <w:t xml:space="preserve">9. Conclusion</w:t>
      </w:r>
    </w:p>
    <w:p>
      <w:pPr>
        <w:pStyle w:val="FirstParagraph"/>
        <w:jc w:val="both"/>
        <w:keepNext w:val="0"/>
        <w:keepLines w:val="0"/>
        <w:widowControl w:val="1"/>
      </w:pPr>
      <w:r>
        <w:t xml:space="preserve">Healthcare IT has made the record and then the clinical fact computable; we propose patient-specific clinical intent as the next layer. What characterizes it is not generating clinical text but recovering, from ordinary communication, source-grounded verifiable representations of intended action, formalized as the Actionable Clinical Record upstream of existing workflow infrastructure. We offer the framework, the ACR, and its evaluation framework as reusable constructs to operationalize, evaluate, extend, or falsify.</w:t>
      </w:r>
    </w:p>
    <w:bookmarkEnd w:id="31"/>
    <w:bookmarkStart w:id="32" w:name="data-availability"/>
    <w:p>
      <w:pPr>
        <w:pStyle w:val="Heading2"/>
        <w:keepNext/>
        <w:keepLines/>
        <w:widowControl w:val="1"/>
      </w:pPr>
      <w:r>
        <w:t xml:space="preserve">Data Availability</w:t>
      </w:r>
    </w:p>
    <w:p>
      <w:pPr>
        <w:pStyle w:val="FirstParagraph"/>
        <w:jc w:val="both"/>
        <w:keepNext w:val="0"/>
        <w:keepLines w:val="0"/>
        <w:widowControl w:val="1"/>
      </w:pPr>
      <w:r>
        <w:t xml:space="preserve">This article is a conceptual Perspective; no new data were generated or analyzed, and it introduces no new datasets. The illustrative feasibility results summarized in Section 7 are drawn from a companion study;</w:t>
      </w:r>
      <w:r>
        <w:rPr>
          <w:vertAlign w:val="superscript"/>
        </w:rPr>
        <w:t xml:space="preserve">[52]</w:t>
      </w:r>
      <w:r>
        <w:t xml:space="preserve"> </w:t>
      </w:r>
      <w:r>
        <w:t xml:space="preserve">the controlled benchmark and evaluation described there, including its own data-availability terms, are reported in that study, and no data were newly collected for the present article. The constructs proposed here, the Actionable Clinical Record schema (Section 5) and the executable-correctness evaluation framework (Section 7), are fully specified in the text and require no separate data deposit. No custom code was produced for this article.</w:t>
      </w:r>
    </w:p>
    <w:bookmarkEnd w:id="32"/>
    <w:bookmarkStart w:id="33"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3"/>
    <w:bookmarkStart w:id="34"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4"/>
    <w:bookmarkStart w:id="35"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5"/>
    <w:bookmarkStart w:id="37"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Kwan JL, Singh H. Assigning responsibility to close the loop on radiology test results.</w:t>
      </w:r>
      <w:r>
        <w:t xml:space="preserve"> </w:t>
      </w:r>
      <w:r>
        <w:rPr>
          <w:i/>
          <w:iCs/>
        </w:rPr>
        <w:t xml:space="preserve">Diagnosis (Berl)</w:t>
      </w:r>
      <w:r>
        <w:t xml:space="preserve"> </w:t>
      </w:r>
      <w:r>
        <w:t xml:space="preserve">2017;4(3):173–177. doi:10.1515/dx-2017-0019.</w:t>
      </w:r>
    </w:p>
    <w:p>
      <w:pPr>
        <w:pStyle w:val="ReferenceEntry"/>
        <w:spacing w:after="100"/>
        <w:ind w:left="475" w:hanging="475"/>
        <w:jc w:val="left"/>
        <w:keepNext w:val="0"/>
        <w:keepLines w:val="0"/>
        <w:widowControl w:val="1"/>
      </w:pPr>
      <w:r>
        <w:rPr>
          <w:rFonts w:ascii="Georgia" w:hAnsi="Georgia"/>
          <w:sz w:val="20"/>
        </w:rPr>
        <w:t xml:space="preserve">6.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7.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8. </w:t>
      </w:r>
      <w:r>
        <w:t xml:space="preserve">Wright B, Lennox A, Graber ML, Bragge P. Closing the loop on test results to reduce communication failures: a rapid review of evidence, practice and patient perspectives.</w:t>
      </w:r>
      <w:r>
        <w:t xml:space="preserve"> </w:t>
      </w:r>
      <w:r>
        <w:rPr>
          <w:i/>
          <w:iCs/>
        </w:rPr>
        <w:t xml:space="preserve">BMC Health Serv Res</w:t>
      </w:r>
      <w:r>
        <w:t xml:space="preserve"> </w:t>
      </w:r>
      <w:r>
        <w:t xml:space="preserve">2020;20:897. doi:10.1186/s12913-020-05737-x.</w:t>
      </w:r>
    </w:p>
    <w:p>
      <w:pPr>
        <w:pStyle w:val="ReferenceEntry"/>
        <w:spacing w:after="100"/>
        <w:ind w:left="475" w:hanging="475"/>
        <w:jc w:val="left"/>
        <w:keepNext w:val="0"/>
        <w:keepLines w:val="0"/>
        <w:widowControl w:val="1"/>
      </w:pPr>
      <w:r>
        <w:rPr>
          <w:rFonts w:ascii="Georgia" w:hAnsi="Georgia"/>
          <w:sz w:val="20"/>
        </w:rPr>
        <w:t xml:space="preserve">9. </w:t>
      </w:r>
      <w:r>
        <w:t xml:space="preserve">Duan-Porter W, Ullman K, Majeski B, Miake-Lye I, Diem S, Wilt TJ. Care Coordination Models and Tools: Systematic Review and Key Informant Interviews.</w:t>
      </w:r>
      <w:r>
        <w:t xml:space="preserve"> </w:t>
      </w:r>
      <w:r>
        <w:rPr>
          <w:i/>
          <w:iCs/>
        </w:rPr>
        <w:t xml:space="preserve">J Gen Intern Med</w:t>
      </w:r>
      <w:r>
        <w:t xml:space="preserve"> </w:t>
      </w:r>
      <w:r>
        <w:t xml:space="preserve">2022;37(6):1367–1379. doi:10.1007/s11606-021-07158-w.</w:t>
      </w:r>
    </w:p>
    <w:p>
      <w:pPr>
        <w:pStyle w:val="ReferenceEntry"/>
        <w:spacing w:after="100"/>
        <w:ind w:left="475" w:hanging="475"/>
        <w:jc w:val="left"/>
        <w:keepNext w:val="0"/>
        <w:keepLines w:val="0"/>
        <w:widowControl w:val="1"/>
      </w:pPr>
      <w:r>
        <w:rPr>
          <w:rFonts w:ascii="Georgia" w:hAnsi="Georgia"/>
          <w:sz w:val="20"/>
        </w:rPr>
        <w:t xml:space="preserve">10.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11.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12.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13.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14.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15.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16.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17.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18.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19.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20.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21.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22.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23.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24.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25. </w:t>
      </w:r>
      <w:r>
        <w:t xml:space="preserve">Aspland E, Gartner D, Harper P. Clinical pathway modelling: a literature review.</w:t>
      </w:r>
      <w:r>
        <w:t xml:space="preserve"> </w:t>
      </w:r>
      <w:r>
        <w:rPr>
          <w:i/>
          <w:iCs/>
        </w:rPr>
        <w:t xml:space="preserve">Health Syst</w:t>
      </w:r>
      <w:r>
        <w:t xml:space="preserve"> </w:t>
      </w:r>
      <w:r>
        <w:t xml:space="preserve">2021;10(1):1–23. doi:10.1080/20476965.2019.1652547.</w:t>
      </w:r>
    </w:p>
    <w:p>
      <w:pPr>
        <w:pStyle w:val="ReferenceEntry"/>
        <w:spacing w:after="100"/>
        <w:ind w:left="475" w:hanging="475"/>
        <w:jc w:val="left"/>
        <w:keepNext w:val="0"/>
        <w:keepLines w:val="0"/>
        <w:widowControl w:val="1"/>
      </w:pPr>
      <w:r>
        <w:rPr>
          <w:rFonts w:ascii="Georgia" w:hAnsi="Georgia"/>
          <w:sz w:val="20"/>
        </w:rPr>
        <w:t xml:space="preserve">26.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27.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28. </w:t>
      </w:r>
      <w:r>
        <w:t xml:space="preserve">HL7 FHIR Release 5: Workflow. Health Level Seven International; 2023.</w:t>
      </w:r>
      <w:r>
        <w:t xml:space="preserve"> </w:t>
      </w:r>
      <w:hyperlink r:id="rId36">
        <w:r>
          <w:rPr>
            <w:rStyle w:val="Hyperlink"/>
          </w:rPr>
          <w:t xml:space="preserve">https://hl7.org/fhir/R5/workflow.html</w:t>
        </w:r>
      </w:hyperlink>
      <w:r>
        <w:t xml:space="preserve"> </w:t>
      </w:r>
      <w:r>
        <w:t xml:space="preserve">(accessed 9 Aug 2026).</w:t>
      </w:r>
    </w:p>
    <w:p>
      <w:pPr>
        <w:pStyle w:val="ReferenceEntry"/>
        <w:spacing w:after="100"/>
        <w:ind w:left="475" w:hanging="475"/>
        <w:jc w:val="left"/>
        <w:keepNext w:val="0"/>
        <w:keepLines w:val="0"/>
        <w:widowControl w:val="1"/>
      </w:pPr>
      <w:r>
        <w:rPr>
          <w:rFonts w:ascii="Georgia" w:hAnsi="Georgia"/>
          <w:sz w:val="20"/>
        </w:rPr>
        <w:t xml:space="preserve">29.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30. </w:t>
      </w:r>
      <w:r>
        <w:t xml:space="preserve">Ben Abacha A, et al. Overview of the MEDIQA-OE 2025 Shared Task on Medical Order Extraction from Doctor-Patient Consultations.</w:t>
      </w:r>
      <w:r>
        <w:t xml:space="preserve"> </w:t>
      </w:r>
      <w:r>
        <w:rPr>
          <w:i/>
          <w:iCs/>
        </w:rPr>
        <w:t xml:space="preserve">arXiv</w:t>
      </w:r>
      <w:r>
        <w:t xml:space="preserve">; 2025. arXiv:2510.26974.</w:t>
      </w:r>
    </w:p>
    <w:p>
      <w:pPr>
        <w:pStyle w:val="ReferenceEntry"/>
        <w:spacing w:after="100"/>
        <w:ind w:left="475" w:hanging="475"/>
        <w:jc w:val="left"/>
        <w:keepNext w:val="0"/>
        <w:keepLines w:val="0"/>
        <w:widowControl w:val="1"/>
      </w:pPr>
      <w:r>
        <w:rPr>
          <w:rFonts w:ascii="Georgia" w:hAnsi="Georgia"/>
          <w:sz w:val="20"/>
        </w:rPr>
        <w:t xml:space="preserve">31.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32. </w:t>
      </w:r>
      <w:r>
        <w:t xml:space="preserve">Yetisgen-Yildiz M, Gunn ML, Xia F, Payne TH. A text processing pipeline to extract recommendations from radiology reports.</w:t>
      </w:r>
      <w:r>
        <w:t xml:space="preserve"> </w:t>
      </w:r>
      <w:r>
        <w:rPr>
          <w:i/>
          <w:iCs/>
        </w:rPr>
        <w:t xml:space="preserve">J Biomed Inform</w:t>
      </w:r>
      <w:r>
        <w:t xml:space="preserve"> </w:t>
      </w:r>
      <w:r>
        <w:t xml:space="preserve">2013;46(2):354–362. doi:10.1016/j.jbi.2012.12.005.</w:t>
      </w:r>
    </w:p>
    <w:p>
      <w:pPr>
        <w:pStyle w:val="ReferenceEntry"/>
        <w:spacing w:after="100"/>
        <w:ind w:left="475" w:hanging="475"/>
        <w:jc w:val="left"/>
        <w:keepNext w:val="0"/>
        <w:keepLines w:val="0"/>
        <w:widowControl w:val="1"/>
      </w:pPr>
      <w:r>
        <w:rPr>
          <w:rFonts w:ascii="Georgia" w:hAnsi="Georgia"/>
          <w:sz w:val="20"/>
        </w:rPr>
        <w:t xml:space="preserve">33. </w:t>
      </w:r>
      <w:r>
        <w:t xml:space="preserve">Reichenpfader D, Müller H, Denecke K. A scoping review of large language model based approaches for information extraction from radiology reports.</w:t>
      </w:r>
      <w:r>
        <w:t xml:space="preserve"> </w:t>
      </w:r>
      <w:r>
        <w:rPr>
          <w:i/>
          <w:iCs/>
        </w:rPr>
        <w:t xml:space="preserve">npj Digit Med</w:t>
      </w:r>
      <w:r>
        <w:t xml:space="preserve"> </w:t>
      </w:r>
      <w:r>
        <w:t xml:space="preserve">2024;7:222. doi:10.1038/s41746-024-01219-0.</w:t>
      </w:r>
    </w:p>
    <w:p>
      <w:pPr>
        <w:pStyle w:val="ReferenceEntry"/>
        <w:spacing w:after="100"/>
        <w:ind w:left="475" w:hanging="475"/>
        <w:jc w:val="left"/>
        <w:keepNext w:val="0"/>
        <w:keepLines w:val="0"/>
        <w:widowControl w:val="1"/>
      </w:pPr>
      <w:r>
        <w:rPr>
          <w:rFonts w:ascii="Georgia" w:hAnsi="Georgia"/>
          <w:sz w:val="20"/>
        </w:rPr>
        <w:t xml:space="preserve">34. </w:t>
      </w:r>
      <w:r>
        <w:t xml:space="preserve">Henry S, Buchan K, Filannino M, Stubbs A, Uzuner O. 2018 n2c2 shared task on adverse drug events and medication extraction in electronic health records.</w:t>
      </w:r>
      <w:r>
        <w:t xml:space="preserve"> </w:t>
      </w:r>
      <w:r>
        <w:rPr>
          <w:i/>
          <w:iCs/>
        </w:rPr>
        <w:t xml:space="preserve">J Am Med Inform Assoc</w:t>
      </w:r>
      <w:r>
        <w:t xml:space="preserve"> </w:t>
      </w:r>
      <w:r>
        <w:t xml:space="preserve">2020;27(1):3–12. doi:10.1093/jamia/ocz166.</w:t>
      </w:r>
    </w:p>
    <w:p>
      <w:pPr>
        <w:pStyle w:val="ReferenceEntry"/>
        <w:spacing w:after="100"/>
        <w:ind w:left="475" w:hanging="475"/>
        <w:jc w:val="left"/>
        <w:keepNext w:val="0"/>
        <w:keepLines w:val="0"/>
        <w:widowControl w:val="1"/>
      </w:pPr>
      <w:r>
        <w:rPr>
          <w:rFonts w:ascii="Georgia" w:hAnsi="Georgia"/>
          <w:sz w:val="20"/>
        </w:rPr>
        <w:t xml:space="preserve">35. </w:t>
      </w:r>
      <w:r>
        <w:t xml:space="preserve">Agrawal M, Hegselmann S, Lang H, Kim Y, Sontag D. Large language models are few-shot clinical information extractors.</w:t>
      </w:r>
      <w:r>
        <w:t xml:space="preserve"> </w:t>
      </w:r>
      <w:r>
        <w:rPr>
          <w:i/>
          <w:iCs/>
        </w:rPr>
        <w:t xml:space="preserve">Proc. EMNLP</w:t>
      </w:r>
      <w:r>
        <w:t xml:space="preserve"> </w:t>
      </w:r>
      <w:r>
        <w:t xml:space="preserve">2022:1998–2022. doi:10.18653/v1/2022.emnlp-main.130.</w:t>
      </w:r>
    </w:p>
    <w:p>
      <w:pPr>
        <w:pStyle w:val="ReferenceEntry"/>
        <w:spacing w:after="100"/>
        <w:ind w:left="475" w:hanging="475"/>
        <w:jc w:val="left"/>
        <w:keepNext w:val="0"/>
        <w:keepLines w:val="0"/>
        <w:widowControl w:val="1"/>
      </w:pPr>
      <w:r>
        <w:rPr>
          <w:rFonts w:ascii="Georgia" w:hAnsi="Georgia"/>
          <w:sz w:val="20"/>
        </w:rPr>
        <w:t xml:space="preserve">36. </w:t>
      </w:r>
      <w:r>
        <w:t xml:space="preserve">Bethard S, Savova G, Palmer M, Pustejovsky J. SemEval-2017 Task 12: Clinical TempEval.</w:t>
      </w:r>
      <w:r>
        <w:t xml:space="preserve"> </w:t>
      </w:r>
      <w:r>
        <w:rPr>
          <w:i/>
          <w:iCs/>
        </w:rPr>
        <w:t xml:space="preserve">Proc. 11th Int Workshop Semantic Eval (SemEval-2017)</w:t>
      </w:r>
      <w:r>
        <w:t xml:space="preserve"> </w:t>
      </w:r>
      <w:r>
        <w:t xml:space="preserve">2017:565–572. doi:10.18653/v1/S17-2093.</w:t>
      </w:r>
    </w:p>
    <w:p>
      <w:pPr>
        <w:pStyle w:val="ReferenceEntry"/>
        <w:spacing w:after="100"/>
        <w:ind w:left="475" w:hanging="475"/>
        <w:jc w:val="left"/>
        <w:keepNext w:val="0"/>
        <w:keepLines w:val="0"/>
        <w:widowControl w:val="1"/>
      </w:pPr>
      <w:r>
        <w:rPr>
          <w:rFonts w:ascii="Georgia" w:hAnsi="Georgia"/>
          <w:sz w:val="20"/>
        </w:rPr>
        <w:t xml:space="preserve">37. </w:t>
      </w:r>
      <w:r>
        <w:t xml:space="preserve">Mullenbach J, Pruksachatkun Y, Adler S, et al. CLIP: A Dataset for Extracting Action Items for Physicians from Hospital Discharge Notes.</w:t>
      </w:r>
      <w:r>
        <w:t xml:space="preserve"> </w:t>
      </w:r>
      <w:r>
        <w:rPr>
          <w:i/>
          <w:iCs/>
        </w:rPr>
        <w:t xml:space="preserve">Proc. 59th Annu Meet Assoc Comput Linguist (ACL-IJCNLP)</w:t>
      </w:r>
      <w:r>
        <w:t xml:space="preserve"> </w:t>
      </w:r>
      <w:r>
        <w:t xml:space="preserve">2021:1365–1378. doi:10.18653/v1/2021.acl-long.109.</w:t>
      </w:r>
    </w:p>
    <w:p>
      <w:pPr>
        <w:pStyle w:val="ReferenceEntry"/>
        <w:spacing w:after="100"/>
        <w:ind w:left="475" w:hanging="475"/>
        <w:jc w:val="left"/>
        <w:keepNext w:val="0"/>
        <w:keepLines w:val="0"/>
        <w:widowControl w:val="1"/>
      </w:pPr>
      <w:r>
        <w:rPr>
          <w:rFonts w:ascii="Georgia" w:hAnsi="Georgia"/>
          <w:sz w:val="20"/>
        </w:rPr>
        <w:t xml:space="preserve">38. </w:t>
      </w:r>
      <w:r>
        <w:t xml:space="preserve">Elgaar M, Cheng J, Vakil N, Amiri H, Celi LA. MedDec: A Dataset for Extracting Medical Decisions from Discharge Summaries.</w:t>
      </w:r>
      <w:r>
        <w:t xml:space="preserve"> </w:t>
      </w:r>
      <w:r>
        <w:rPr>
          <w:i/>
          <w:iCs/>
        </w:rPr>
        <w:t xml:space="preserve">Findings Assoc Comput Linguist: ACL 2024</w:t>
      </w:r>
      <w:r>
        <w:t xml:space="preserve"> </w:t>
      </w:r>
      <w:r>
        <w:t xml:space="preserve">2024:16442–16455. doi:10.18653/v1/2024.findings-acl.975.</w:t>
      </w:r>
    </w:p>
    <w:p>
      <w:pPr>
        <w:pStyle w:val="ReferenceEntry"/>
        <w:spacing w:after="100"/>
        <w:ind w:left="475" w:hanging="475"/>
        <w:jc w:val="left"/>
        <w:keepNext w:val="0"/>
        <w:keepLines w:val="0"/>
        <w:widowControl w:val="1"/>
      </w:pPr>
      <w:r>
        <w:rPr>
          <w:rFonts w:ascii="Georgia" w:hAnsi="Georgia"/>
          <w:sz w:val="20"/>
        </w:rPr>
        <w:t xml:space="preserve">39.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40.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41. </w:t>
      </w:r>
      <w:r>
        <w:t xml:space="preserve">Chu Z, Chen J, Chen Q, et al. TimeBench: A Comprehensive Evaluation of Temporal Reasoning Abilities in Large Language Models.</w:t>
      </w:r>
      <w:r>
        <w:t xml:space="preserve"> </w:t>
      </w:r>
      <w:r>
        <w:rPr>
          <w:i/>
          <w:iCs/>
        </w:rPr>
        <w:t xml:space="preserve">Proc. ACL</w:t>
      </w:r>
      <w:r>
        <w:t xml:space="preserve"> </w:t>
      </w:r>
      <w:r>
        <w:t xml:space="preserve">2024. arXiv:2311.17667.</w:t>
      </w:r>
    </w:p>
    <w:p>
      <w:pPr>
        <w:pStyle w:val="ReferenceEntry"/>
        <w:spacing w:after="100"/>
        <w:ind w:left="475" w:hanging="475"/>
        <w:jc w:val="left"/>
        <w:keepNext w:val="0"/>
        <w:keepLines w:val="0"/>
        <w:widowControl w:val="1"/>
      </w:pPr>
      <w:r>
        <w:rPr>
          <w:rFonts w:ascii="Georgia" w:hAnsi="Georgia"/>
          <w:sz w:val="20"/>
        </w:rPr>
        <w:t xml:space="preserve">42.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43. </w:t>
      </w:r>
      <w:r>
        <w:t xml:space="preserve">Prenosil GA, Weitzel TK, Bello SC, et al. Neuro-symbolic AI for auditable cognitive information extraction from medical reports.</w:t>
      </w:r>
      <w:r>
        <w:t xml:space="preserve"> </w:t>
      </w:r>
      <w:r>
        <w:rPr>
          <w:i/>
          <w:iCs/>
        </w:rPr>
        <w:t xml:space="preserve">Commun Med</w:t>
      </w:r>
      <w:r>
        <w:t xml:space="preserve"> </w:t>
      </w:r>
      <w:r>
        <w:t xml:space="preserve">2025;5(1):491. doi:10.1038/s43856-025-01194-x.</w:t>
      </w:r>
    </w:p>
    <w:p>
      <w:pPr>
        <w:pStyle w:val="ReferenceEntry"/>
        <w:spacing w:after="100"/>
        <w:ind w:left="475" w:hanging="475"/>
        <w:jc w:val="left"/>
        <w:keepNext w:val="0"/>
        <w:keepLines w:val="0"/>
        <w:widowControl w:val="1"/>
      </w:pPr>
      <w:r>
        <w:rPr>
          <w:rFonts w:ascii="Georgia" w:hAnsi="Georgia"/>
          <w:sz w:val="20"/>
        </w:rPr>
        <w:t xml:space="preserve">44.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45.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46.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47.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48. </w:t>
      </w:r>
      <w:r>
        <w:t xml:space="preserve">Knez T, Žitnik S. Multimodal learning for temporal relation extraction in clinical texts.</w:t>
      </w:r>
      <w:r>
        <w:t xml:space="preserve"> </w:t>
      </w:r>
      <w:r>
        <w:rPr>
          <w:i/>
          <w:iCs/>
        </w:rPr>
        <w:t xml:space="preserve">J Am Med Inform Assoc</w:t>
      </w:r>
      <w:r>
        <w:t xml:space="preserve"> </w:t>
      </w:r>
      <w:r>
        <w:t xml:space="preserve">2024;31(6):1380–1387. doi:10.1093/jamia/ocae059.</w:t>
      </w:r>
    </w:p>
    <w:p>
      <w:pPr>
        <w:pStyle w:val="ReferenceEntry"/>
        <w:spacing w:after="100"/>
        <w:ind w:left="475" w:hanging="475"/>
        <w:jc w:val="left"/>
        <w:keepNext w:val="0"/>
        <w:keepLines w:val="0"/>
        <w:widowControl w:val="1"/>
      </w:pPr>
      <w:r>
        <w:rPr>
          <w:rFonts w:ascii="Georgia" w:hAnsi="Georgia"/>
          <w:sz w:val="20"/>
        </w:rPr>
        <w:t xml:space="preserve">49. </w:t>
      </w:r>
      <w:r>
        <w:t xml:space="preserve">Zolensky A, Jang KJ, Sabin J, et al. Speaker Role Identification in Clinical Conversations.</w:t>
      </w:r>
      <w:r>
        <w:t xml:space="preserve"> </w:t>
      </w:r>
      <w:r>
        <w:rPr>
          <w:i/>
          <w:iCs/>
        </w:rPr>
        <w:t xml:space="preserve">Pac Symp Biocomput</w:t>
      </w:r>
      <w:r>
        <w:t xml:space="preserve"> </w:t>
      </w:r>
      <w:r>
        <w:t xml:space="preserve">2026;31:144–157. doi:10.1101/2025.08.14.25332837.</w:t>
      </w:r>
    </w:p>
    <w:p>
      <w:pPr>
        <w:pStyle w:val="ReferenceEntry"/>
        <w:spacing w:after="100"/>
        <w:ind w:left="475" w:hanging="475"/>
        <w:jc w:val="left"/>
        <w:keepNext w:val="0"/>
        <w:keepLines w:val="0"/>
        <w:widowControl w:val="1"/>
      </w:pPr>
      <w:r>
        <w:rPr>
          <w:rFonts w:ascii="Georgia" w:hAnsi="Georgia"/>
          <w:sz w:val="20"/>
        </w:rPr>
        <w:t xml:space="preserve">50.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51.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52.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53.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p>
      <w:pPr>
        <w:pStyle w:val="ReferenceEntry"/>
        <w:spacing w:after="100"/>
        <w:ind w:left="475" w:hanging="475"/>
        <w:jc w:val="left"/>
        <w:keepNext w:val="0"/>
        <w:keepLines w:val="0"/>
        <w:widowControl w:val="1"/>
      </w:pPr>
      <w:r>
        <w:rPr>
          <w:rFonts w:ascii="Georgia" w:hAnsi="Georgia"/>
          <w:sz w:val="20"/>
        </w:rPr>
        <w:t xml:space="preserve">54. </w:t>
      </w:r>
      <w:r>
        <w:t xml:space="preserve">Artsi Y, Sorin V, Glicksberg BS, Korfiatis P, Nadkarni GN, Klang E. Large language models in real-world clinical workflows: a systematic review of applications and implementation.</w:t>
      </w:r>
      <w:r>
        <w:t xml:space="preserve"> </w:t>
      </w:r>
      <w:r>
        <w:rPr>
          <w:i/>
          <w:iCs/>
        </w:rPr>
        <w:t xml:space="preserve">Front Digit Health</w:t>
      </w:r>
      <w:r>
        <w:t xml:space="preserve"> </w:t>
      </w:r>
      <w:r>
        <w:t xml:space="preserve">2025;7:1659134. doi:10.3389/fdgth.2025.1659134.</w:t>
      </w:r>
    </w:p>
    <w:bookmarkEnd w:id="37"/>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2" Type="http://schemas.openxmlformats.org/officeDocument/2006/relationships/image" Target="media/rId22.png"/><Relationship Id="rId36" Type="http://schemas.openxmlformats.org/officeDocument/2006/relationships/hyperlink" Target="https://hl7.org/fhir/R5/workflow.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6" Type="http://schemas.openxmlformats.org/officeDocument/2006/relationships/hyperlink" Target="https://hl7.org/fhir/R5/workflow.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2026-08-09T05:10:20Z</dcterms:created>
  <dcterms:modified xsi:type="dcterms:W3CDTF">2026-08-09T05:10:20Z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