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in one large health system only about one-third of specialist referrals reached a completed visit,</w:t>
      </w:r>
      <w:r>
        <w:rPr>
          <w:vertAlign w:val="superscript"/>
        </w:rPr>
        <w:t xml:space="preserve">[4]</w:t>
      </w:r>
      <w:r>
        <w:t xml:space="preserve"> </w:t>
      </w:r>
      <w:r>
        <w:t xml:space="preserve">and such loop-closure failures, rooted in ambiguous responsibility and care-coordination breakdowns,</w:t>
      </w:r>
      <w:r>
        <w:rPr>
          <w:vertAlign w:val="superscript"/>
        </w:rPr>
        <w:t xml:space="preserve">[5]</w:t>
      </w:r>
      <w:r>
        <w:t xml:space="preserve"> </w:t>
      </w:r>
      <w:r>
        <w:t xml:space="preserve">contribute to diagnostic error and avoidable harm.</w:t>
      </w:r>
      <w:r>
        <w:rPr>
          <w:vertAlign w:val="superscript"/>
        </w:rPr>
        <w:t xml:space="preserve">[6,7,8,9]</w:t>
      </w:r>
    </w:p>
    <w:p>
      <w:pPr>
        <w:pStyle w:val="BodyText"/>
        <w:jc w:val="both"/>
        <w:keepNext w:val="0"/>
        <w:keepLines w:val="0"/>
        <w:widowControl w:val="1"/>
      </w:pPr>
      <w:r>
        <w:t xml:space="preserve">This Perspective offers a framework and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[10]</w:t>
      </w:r>
      <w:r>
        <w:t xml:space="preserve"> </w:t>
      </w:r>
      <w:r>
        <w:t xml:space="preserve">and to digital-maturity models such as EMRAM,</w:t>
      </w:r>
      <w:r>
        <w:rPr>
          <w:vertAlign w:val="superscript"/>
        </w:rPr>
        <w:t xml:space="preserve">[11,12]</w:t>
      </w:r>
      <w:r>
        <w:t xml:space="preserve"> </w:t>
      </w:r>
      <w:r>
        <w:t xml:space="preserve">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MGL5JY/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builds on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[13,14]</w:t>
      </w:r>
      <w:r>
        <w:t xml:space="preserve"> </w:t>
      </w:r>
      <w:r>
        <w:t xml:space="preserve">extending the older problem-oriented-record ideal.</w:t>
      </w:r>
      <w:r>
        <w:rPr>
          <w:vertAlign w:val="superscript"/>
        </w:rPr>
        <w:t xml:space="preserve">[15]</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[16]</w:t>
      </w:r>
      <w:r>
        <w:t xml:space="preserve"> </w:t>
      </w:r>
      <w:r>
        <w:t xml:space="preserve">computerized order entry, data warehouses, and interoperability standards</w:t>
      </w:r>
      <w:r>
        <w:rPr>
          <w:vertAlign w:val="superscript"/>
        </w:rPr>
        <w:t xml:space="preserve">[17,18]</w:t>
      </w:r>
      <w:r>
        <w:t xml:space="preserve"> </w:t>
      </w:r>
      <w:r>
        <w:t xml:space="preserve">mattered as much as language processing, one route by which narrative facts entered the semantic layer (MedLEE, cTAKES).</w:t>
      </w:r>
      <w:r>
        <w:rPr>
          <w:vertAlign w:val="superscript"/>
        </w:rPr>
        <w:t xml:space="preserve">[19,20]</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[21]</w:t>
      </w:r>
      <w:r>
        <w:t xml:space="preserve"> </w:t>
      </w:r>
      <w:r>
        <w:t xml:space="preserve">A tension remained: encoding meaning into structured fields captures facts, while much clinical reasoning and many intended actions remain expressed only in narrative.</w:t>
      </w:r>
      <w:r>
        <w:rPr>
          <w:vertAlign w:val="superscript"/>
        </w:rPr>
        <w:t xml:space="preserve">[22]</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Healthcare IT can represent process, but only once a person or system has structured it: FHIR can represent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while</w:t>
      </w:r>
      <w:r>
        <w:t xml:space="preserve"> </w:t>
      </w:r>
      <w:r>
        <w:rPr>
          <w:i/>
          <w:iCs/>
        </w:rPr>
        <w:t xml:space="preserve">PlanDefinition</w:t>
      </w:r>
      <w:r>
        <w:t xml:space="preserve"> </w:t>
      </w:r>
      <w:r>
        <w:t xml:space="preserve">defines reusable protocols that are instantiated per patient;</w:t>
      </w:r>
      <w:r>
        <w:rPr>
          <w:vertAlign w:val="superscript"/>
        </w:rPr>
        <w:t xml:space="preserve">[17]</w:t>
      </w:r>
      <w:r>
        <w:t xml:space="preserve"> </w:t>
      </w:r>
      <w:r>
        <w:t xml:space="preserve">computer-interpretable guidelines and care-pathway models encode executable protocols;</w:t>
      </w:r>
      <w:r>
        <w:rPr>
          <w:vertAlign w:val="superscript"/>
        </w:rPr>
        <w:t xml:space="preserve">[23,24,25]</w:t>
      </w:r>
      <w:r>
        <w:t xml:space="preserve"> </w:t>
      </w:r>
      <w:r>
        <w:t xml:space="preserve">and process mining reconstructs pathways from event logs.</w:t>
      </w:r>
      <w:r>
        <w:rPr>
          <w:vertAlign w:val="superscript"/>
        </w:rPr>
        <w:t xml:space="preserve">[26,27]</w:t>
      </w:r>
      <w:r>
        <w:t xml:space="preserve"> </w:t>
      </w:r>
      <w:r>
        <w:t xml:space="preserve">These paradigms are complementary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 Existing paradigms represent and operationalize intended process once it has been structured, but none recovers it from unstructured communication; that recovery, and its conversion into executable form,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may express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and</w:t>
      </w:r>
      <w:r>
        <w:t xml:space="preserve"> </w:t>
      </w:r>
      <w:r>
        <w:rPr>
          <w:i/>
          <w:iCs/>
        </w:rPr>
        <w:t xml:space="preserve">confidence</w:t>
      </w:r>
      <w:r>
        <w:t xml:space="preserve"> </w:t>
      </w:r>
      <w:r>
        <w:t xml:space="preserve">records recovery-system uncertainty on inferred attributes.</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relative, event-anchored,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a calibrated per-attribute uncertainty, routes uncertain records to review.</w:t>
      </w:r>
      <w:r>
        <w:t xml:space="preserve"> </w:t>
      </w:r>
      <w:r>
        <w:rPr>
          <w:i/>
          <w:iCs/>
        </w:rPr>
        <w:t xml:space="preserve">Target</w:t>
      </w:r>
      <w:r>
        <w:t xml:space="preserve"> </w:t>
      </w:r>
      <w:r>
        <w:t xml:space="preserve">links to a layer-2 coded concept, and</w:t>
      </w:r>
      <w:r>
        <w:t xml:space="preserve"> </w:t>
      </w:r>
      <w:r>
        <w:rPr>
          <w:i/>
          <w:iCs/>
        </w:rPr>
        <w:t xml:space="preserve">dependency</w:t>
      </w:r>
      <w:r>
        <w:t xml:space="preserve"> </w:t>
      </w:r>
      <w:r>
        <w:t xml:space="preserve">encodes ordering.</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MGL5JY/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that “complete blood count” appears in a note belongs to layer 2; extracting “repeat complete blood count” is a partial step; adding “two weeks” and a responsible actor makes it actionable; resolving a due date and a workflow object makes it executable. Separately, the ACR’s</w:t>
      </w:r>
      <w:r>
        <w:t xml:space="preserve"> </w:t>
      </w:r>
      <w:r>
        <w:rPr>
          <w:i/>
          <w:iCs/>
        </w:rPr>
        <w:t xml:space="preserve">status</w:t>
      </w:r>
      <w:r>
        <w:t xml:space="preserve"> </w:t>
      </w:r>
      <w:r>
        <w:t xml:space="preserve">attribute records the operational lifecycle of the recovered action, from</w:t>
      </w:r>
      <w:r>
        <w:t xml:space="preserve"> </w:t>
      </w:r>
      <w:r>
        <w:rPr>
          <w:i/>
          <w:iCs/>
        </w:rPr>
        <w:t xml:space="preserve">recovered</w:t>
      </w:r>
      <w:r>
        <w:t xml:space="preserve"> </w:t>
      </w:r>
      <w:r>
        <w:t xml:space="preserve">and</w:t>
      </w:r>
      <w:r>
        <w:t xml:space="preserve"> </w:t>
      </w:r>
      <w:r>
        <w:rPr>
          <w:i/>
          <w:iCs/>
        </w:rPr>
        <w:t xml:space="preserve">confirmed</w:t>
      </w:r>
      <w:r>
        <w:t xml:space="preserve"> </w:t>
      </w:r>
      <w:r>
        <w:t xml:space="preserve">to</w:t>
      </w:r>
      <w:r>
        <w:t xml:space="preserve"> </w:t>
      </w:r>
      <w:r>
        <w:rPr>
          <w:i/>
          <w:iCs/>
        </w:rPr>
        <w:t xml:space="preserve">active</w:t>
      </w:r>
      <w:r>
        <w:t xml:space="preserve"> </w:t>
      </w:r>
      <w:r>
        <w:t xml:space="preserve">and then</w:t>
      </w:r>
      <w:r>
        <w:t xml:space="preserve"> </w:t>
      </w:r>
      <w:r>
        <w:rPr>
          <w:i/>
          <w:iCs/>
        </w:rPr>
        <w:t xml:space="preserve">completed</w:t>
      </w:r>
      <w:r>
        <w:t xml:space="preserve"> </w:t>
      </w:r>
      <w:r>
        <w:t xml:space="preserve">or</w:t>
      </w:r>
      <w:r>
        <w:t xml:space="preserve"> </w:t>
      </w:r>
      <w:r>
        <w:rPr>
          <w:i/>
          <w:iCs/>
        </w:rPr>
        <w:t xml:space="preserve">cancelled</w:t>
      </w:r>
      <w:r>
        <w:t xml:space="preserve">, without changing its representational readiness;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messages, calls, transcripts); its output is a set of ACRs that maps onto infrastructure the field already has.</w:t>
      </w:r>
      <w:r>
        <w:rPr>
          <w:vertAlign w:val="superscript"/>
        </w:rPr>
        <w:t xml:space="preserve">[17,28]</w:t>
      </w:r>
      <w:r>
        <w:t xml:space="preserve"> </w:t>
      </w:r>
      <w:r>
        <w:t xml:space="preserve">The mapping situates the ACR</w:t>
      </w:r>
      <w:r>
        <w:t xml:space="preserve"> </w:t>
      </w:r>
      <w:r>
        <w:rPr>
          <w:i/>
          <w:iCs/>
        </w:rPr>
        <w:t xml:space="preserve">upstream</w:t>
      </w:r>
      <w:r>
        <w:t xml:space="preserve"> </w:t>
      </w:r>
      <w:r>
        <w:t xml:space="preserve">of these resources rather than as a competitor, translating attributes into workflow elements according to the target resource and profile: for example,</w:t>
      </w:r>
      <w:r>
        <w:t xml:space="preserve"> </w:t>
      </w:r>
      <w:r>
        <w:rPr>
          <w:i/>
          <w:iCs/>
        </w:rPr>
        <w:t xml:space="preserve">action</w:t>
      </w:r>
      <w:r>
        <w:t xml:space="preserve"> </w:t>
      </w:r>
      <w:r>
        <w:t xml:space="preserve">and</w:t>
      </w:r>
      <w:r>
        <w:t xml:space="preserve"> </w:t>
      </w:r>
      <w:r>
        <w:rPr>
          <w:i/>
          <w:iCs/>
        </w:rPr>
        <w:t xml:space="preserve">target</w:t>
      </w:r>
      <w:r>
        <w:t xml:space="preserve"> </w:t>
      </w:r>
      <w:r>
        <w:t xml:space="preserve">into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into the resource-appropriate timing element,</w:t>
      </w:r>
      <w:r>
        <w:t xml:space="preserve"> </w:t>
      </w:r>
      <w:r>
        <w:rPr>
          <w:i/>
          <w:iCs/>
        </w:rPr>
        <w:t xml:space="preserve">actor</w:t>
      </w:r>
      <w:r>
        <w:t xml:space="preserve"> </w:t>
      </w:r>
      <w:r>
        <w:t xml:space="preserve">into performer or owner semantics, and</w:t>
      </w:r>
      <w:r>
        <w:t xml:space="preserve"> </w:t>
      </w:r>
      <w:r>
        <w:rPr>
          <w:i/>
          <w:iCs/>
        </w:rPr>
        <w:t xml:space="preserve">dependency</w:t>
      </w:r>
      <w:r>
        <w:t xml:space="preserve"> </w:t>
      </w:r>
      <w:r>
        <w:t xml:space="preserve">into</w:t>
      </w:r>
      <w:r>
        <w:t xml:space="preserve"> </w:t>
      </w:r>
      <w:r>
        <w:rPr>
          <w:i/>
          <w:iCs/>
        </w:rPr>
        <w:t xml:space="preserve">basedOn</w:t>
      </w:r>
      <w:r>
        <w:t xml:space="preserve">/</w:t>
      </w:r>
      <w:r>
        <w:rPr>
          <w:i/>
          <w:iCs/>
        </w:rPr>
        <w:t xml:space="preserve">partOf</w:t>
      </w:r>
      <w:r>
        <w:t xml:space="preserve"> </w:t>
      </w:r>
      <w:r>
        <w:t xml:space="preserve">links.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 Existing systems execute such instructions once structured; the third layer recovers them from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MGL5JY/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medication transitions, handoff commitments, referrals, pending-result responsibility, and patient self-management. Ambient documentation and recent shared tasks extract structured orders directly from clinical conversations,</w:t>
      </w:r>
      <w:r>
        <w:rPr>
          <w:vertAlign w:val="superscript"/>
        </w:rPr>
        <w:t xml:space="preserve">[29,30]</w:t>
      </w:r>
      <w:r>
        <w:t xml:space="preserve"> </w:t>
      </w:r>
      <w:r>
        <w:t xml:space="preserve">showing these channels carry actionable content.</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[19,20,31,32,33,34,35,36]</w:t>
      </w:r>
      <w:r>
        <w:t xml:space="preserve"> </w:t>
      </w:r>
      <w:r>
        <w:t xml:space="preserve">and directly extracts physician action items and medical decisions from clinical notes.</w:t>
      </w:r>
      <w:r>
        <w:rPr>
          <w:vertAlign w:val="superscript"/>
        </w:rPr>
        <w:t xml:space="preserve">[37,38]</w:t>
      </w:r>
      <w:r>
        <w:t xml:space="preserve"> </w:t>
      </w:r>
      <w:r>
        <w:t xml:space="preserve">Even order extraction from conversation targets a flat schema scored by text overlap;</w:t>
      </w:r>
      <w:r>
        <w:rPr>
          <w:vertAlign w:val="superscript"/>
        </w:rPr>
        <w:t xml:space="preserve">[30]</w:t>
      </w:r>
      <w:r>
        <w:t xml:space="preserve"> </w:t>
      </w:r>
      <w:r>
        <w:t xml:space="preserve">the distinction the ACR draws is operational, requiring that a recovered action be source-grounded, temporally normalized, and carry the actor, condition, and dependency structure needed to execute rather than only index it. Computer-interpretable guidelines encode generic, population-level protocols;</w:t>
      </w:r>
      <w:r>
        <w:rPr>
          <w:vertAlign w:val="superscript"/>
        </w:rPr>
        <w:t xml:space="preserve">[23,24]</w:t>
      </w:r>
      <w:r>
        <w:t xml:space="preserve"> </w:t>
      </w:r>
      <w:r>
        <w:t xml:space="preserve">the third layer recovers patient-specific records from a particular encounter, capturing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requirements the third layer imposes: auditability, verifiable temporal correctness, and a calibrated signal of when to defer are properties of the output contract, not of model capability. General-purpose models interpret clinical language well</w:t>
      </w:r>
      <w:r>
        <w:rPr>
          <w:vertAlign w:val="superscript"/>
        </w:rPr>
        <w:t xml:space="preserve">[39]</w:t>
      </w:r>
      <w:r>
        <w:t xml:space="preserve"> </w:t>
      </w:r>
      <w:r>
        <w:t xml:space="preserve">but can produce unreliable or unsupported outputs;</w:t>
      </w:r>
      <w:r>
        <w:rPr>
          <w:vertAlign w:val="superscript"/>
        </w:rPr>
        <w:t xml:space="preserve">[40]</w:t>
      </w:r>
      <w:r>
        <w:t xml:space="preserve"> </w:t>
      </w:r>
      <w:r>
        <w:t xml:space="preserve">this matters most in binding an action to its time and normalizing it into an executable schedule, a setting where general-purpose temporal reasoning is known to be weak.</w:t>
      </w:r>
      <w:r>
        <w:rPr>
          <w:vertAlign w:val="superscript"/>
        </w:rPr>
        <w:t xml:space="preserve">[41]</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[42,43]</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[44]</w:t>
      </w:r>
      <w:r>
        <w:t xml:space="preserve"> </w:t>
      </w:r>
      <w:r>
        <w:t xml:space="preserve">while deterministic reasoning resolves times and due dates</w:t>
      </w:r>
      <w:r>
        <w:rPr>
          <w:vertAlign w:val="superscript"/>
        </w:rPr>
        <w:t xml:space="preserve">[45,46,47,48]</w:t>
      </w:r>
      <w:r>
        <w:t xml:space="preserve"> </w:t>
      </w:r>
      <w:r>
        <w:t xml:space="preserve">and selective prediction routes uncertain cases to a clinician. The requirements can be stated as invariants: every acted-upon record traces to a source span, speaker, and encounter;</w:t>
      </w:r>
      <w:r>
        <w:rPr>
          <w:vertAlign w:val="superscript"/>
        </w:rPr>
        <w:t xml:space="preserve">[49]</w:t>
      </w:r>
      <w:r>
        <w:t xml:space="preserve"> </w:t>
      </w:r>
      <w:r>
        <w:t xml:space="preserve">deterministic semantics are computed, not generated; each inferred attribute carries a calibrated confidence; the system may abstain; higher-consequence actions receive tighter human review;</w:t>
      </w:r>
      <w:r>
        <w:rPr>
          <w:vertAlign w:val="superscript"/>
        </w:rPr>
        <w:t xml:space="preserve">[50]</w:t>
      </w:r>
      <w:r>
        <w:t xml:space="preserve"> </w:t>
      </w:r>
      <w:r>
        <w:t xml:space="preserve">an immutable trace links communication to action for audit;</w:t>
      </w:r>
      <w:r>
        <w:rPr>
          <w:vertAlign w:val="superscript"/>
        </w:rPr>
        <w:t xml:space="preserve">[51]</w:t>
      </w:r>
      <w:r>
        <w:t xml:space="preserve"> </w:t>
      </w:r>
      <w:r>
        <w:t xml:space="preserve">and extracted content stays distinct from inferred.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operational endpoint shaped by implementation and workflow rather than recovery correctness, is reported separately. This framework, not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[52]</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the constructs it defines.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and separating who spoke from who is responsible for acting.</w:t>
      </w:r>
      <w:r>
        <w:t xml:space="preserve"> </w:t>
      </w:r>
      <w:r>
        <w:rPr>
          <w:b/>
          <w:bCs/>
        </w:rPr>
        <w:t xml:space="preserve">Evaluation:</w:t>
      </w:r>
      <w:r>
        <w:t xml:space="preserve"> </w:t>
      </w:r>
      <w:r>
        <w:t xml:space="preserve">authentic-data benchmarks,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[17,23]</w:t>
      </w:r>
      <w:r>
        <w:t xml:space="preserve"> </w:t>
      </w:r>
      <w:r>
        <w:t xml:space="preserve">review-queue design,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makes testable predictions: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[29,53,54]</w:t>
      </w:r>
      <w:r>
        <w:t xml:space="preserve"> </w:t>
      </w:r>
      <w:r>
        <w:t xml:space="preserve">More decisively, the ACR is redundant if, across communication-derived task classes, direct mapping into existing workflow standards represents the required action, actor, temporal, conditional, dependency, provenance, and uncertainty semantics without ACR-specific distinctions, and standard extraction metrics discriminate operationally unsafe outputs as well as the proposed executable-correctness measures.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and its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[52]</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7),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Kwan JL, Singh H. Assigning responsibility to close the loop on radiology test results.</w:t>
      </w:r>
      <w:r>
        <w:t xml:space="preserve"> </w:t>
      </w:r>
      <w:r>
        <w:rPr>
          <w:i/>
          <w:iCs/>
        </w:rPr>
        <w:t xml:space="preserve">Diagnosis (Berl)</w:t>
      </w:r>
      <w:r>
        <w:t xml:space="preserve"> </w:t>
      </w:r>
      <w:r>
        <w:t xml:space="preserve">2017;4(3):173–177. doi:10.1515/dx-2017-0019.</w:t>
      </w:r>
    </w:p>
    <w:p>
      <w:pPr>
        <w:pStyle w:val="ReferenceEntry"/>
        <w:spacing w:after="100"/>
        <w:ind w:left="475" w:hanging="475"/>
        <w:jc w:val="left"/>
        <w:keepNext w:val="0"/>
        <w:keepLines w:val="0"/>
        <w:widowControl w:val="1"/>
      </w:pPr>
      <w:r>
        <w:rPr>
          <w:rFonts w:ascii="Georgia" w:hAnsi="Georgia"/>
          <w:sz w:val="20"/>
        </w:rPr>
        <w:t xml:space="preserve">6.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7.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8.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9.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10.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11.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12.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13.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14.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15.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16.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17.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18.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19.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20.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21.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22.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23.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24.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25.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26.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27.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28. </w:t>
      </w:r>
      <w:r>
        <w:t xml:space="preserve">HL7 FHIR Release 5: Workflow. Health Level Seven International; 2023.</w:t>
      </w:r>
      <w:r>
        <w:t xml:space="preserve"> </w:t>
      </w:r>
      <w:hyperlink r:id="rId36">
        <w:r>
          <w:rPr>
            <w:rStyle w:val="Hyperlink"/>
          </w:rPr>
          <w:t xml:space="preserve">https://hl7.org/fhir/R5/workflow.html</w:t>
        </w:r>
      </w:hyperlink>
      <w:r>
        <w:t xml:space="preserve"> </w:t>
      </w:r>
      <w:r>
        <w:t xml:space="preserve">(accessed 9 Aug 2026).</w:t>
      </w:r>
    </w:p>
    <w:p>
      <w:pPr>
        <w:pStyle w:val="ReferenceEntry"/>
        <w:spacing w:after="100"/>
        <w:ind w:left="475" w:hanging="475"/>
        <w:jc w:val="left"/>
        <w:keepNext w:val="0"/>
        <w:keepLines w:val="0"/>
        <w:widowControl w:val="1"/>
      </w:pPr>
      <w:r>
        <w:rPr>
          <w:rFonts w:ascii="Georgia" w:hAnsi="Georgia"/>
          <w:sz w:val="20"/>
        </w:rPr>
        <w:t xml:space="preserve">29.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30.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31.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32.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33.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34. </w:t>
      </w:r>
      <w:r>
        <w:t xml:space="preserve">Henry S, Buchan K, Filannino M, Stubbs A, Uzuner O.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35. </w:t>
      </w:r>
      <w:r>
        <w:t xml:space="preserve">Agrawal M, Hegselmann S, Lang H, Kim Y, Sontag D.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36. </w:t>
      </w:r>
      <w:r>
        <w:t xml:space="preserve">Bethard S, Savova G, Palmer M, Pustejovsky J.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Georgia" w:hAnsi="Georgia"/>
          <w:sz w:val="20"/>
        </w:rPr>
        <w:t xml:space="preserve">37.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Georgia" w:hAnsi="Georgia"/>
          <w:sz w:val="20"/>
        </w:rPr>
        <w:t xml:space="preserve">38. </w:t>
      </w:r>
      <w:r>
        <w:t xml:space="preserve">Elgaar M, Cheng J, Vakil N, Amiri H, Celi LA.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Georgia" w:hAnsi="Georgia"/>
          <w:sz w:val="20"/>
        </w:rPr>
        <w:t xml:space="preserve">39.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40.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41. </w:t>
      </w:r>
      <w:r>
        <w:t xml:space="preserve">Chu Z, Chen J, Chen Q, et al. TimeBench: A Comprehensive Evaluation of Temporal Reasoning Abilities in Large Language Models.</w:t>
      </w:r>
      <w:r>
        <w:t xml:space="preserve"> </w:t>
      </w:r>
      <w:r>
        <w:rPr>
          <w:i/>
          <w:iCs/>
        </w:rPr>
        <w:t xml:space="preserve">Proc. ACL</w:t>
      </w:r>
      <w:r>
        <w:t xml:space="preserve"> </w:t>
      </w:r>
      <w:r>
        <w:t xml:space="preserve">2024. arXiv:2311.17667.</w:t>
      </w:r>
    </w:p>
    <w:p>
      <w:pPr>
        <w:pStyle w:val="ReferenceEntry"/>
        <w:spacing w:after="100"/>
        <w:ind w:left="475" w:hanging="475"/>
        <w:jc w:val="left"/>
        <w:keepNext w:val="0"/>
        <w:keepLines w:val="0"/>
        <w:widowControl w:val="1"/>
      </w:pPr>
      <w:r>
        <w:rPr>
          <w:rFonts w:ascii="Georgia" w:hAnsi="Georgia"/>
          <w:sz w:val="20"/>
        </w:rPr>
        <w:t xml:space="preserve">42.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43. </w:t>
      </w:r>
      <w:r>
        <w:t xml:space="preserve">Prenosil GA, Weitzel TK, Bello SC, et al. Neuro-symbolic AI for auditable cognitive information extraction from medical reports.</w:t>
      </w:r>
      <w:r>
        <w:t xml:space="preserve"> </w:t>
      </w:r>
      <w:r>
        <w:rPr>
          <w:i/>
          <w:iCs/>
        </w:rPr>
        <w:t xml:space="preserve">Commun Med</w:t>
      </w:r>
      <w:r>
        <w:t xml:space="preserve"> </w:t>
      </w:r>
      <w:r>
        <w:t xml:space="preserve">2025;5(1):491. doi:10.1038/s43856-025-01194-x.</w:t>
      </w:r>
    </w:p>
    <w:p>
      <w:pPr>
        <w:pStyle w:val="ReferenceEntry"/>
        <w:spacing w:after="100"/>
        <w:ind w:left="475" w:hanging="475"/>
        <w:jc w:val="left"/>
        <w:keepNext w:val="0"/>
        <w:keepLines w:val="0"/>
        <w:widowControl w:val="1"/>
      </w:pPr>
      <w:r>
        <w:rPr>
          <w:rFonts w:ascii="Georgia" w:hAnsi="Georgia"/>
          <w:sz w:val="20"/>
        </w:rPr>
        <w:t xml:space="preserve">44.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45.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46.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47.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48.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49.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50.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51.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52.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53.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54.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7"/>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36" Type="http://schemas.openxmlformats.org/officeDocument/2006/relationships/hyperlink" Target="https://hl7.org/fhir/R5/workflow.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hl7.org/fhir/R5/workflo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2026-08-09T05:35:19Z</dcterms:created>
  <dcterms:modified xsi:type="dcterms:W3CDTF">2026-08-09T05:35:19Z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