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usually organized by the technologies it adopts. We instead organize it by the unit of information a system makes computable, and describe an emerging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clinical intent), and formalize the Actionable Clinical Record (ACR) as the atomic object of the third layer.</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supports tractability.</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maturity ladder, and an executable-correctness evaluation framework are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remain outside the computable substrate. The cost is measurable: test-result follow-up often fails,</w:t>
      </w:r>
      <w:r>
        <w:rPr>
          <w:vertAlign w:val="superscript"/>
        </w:rPr>
        <w:t xml:space="preserve">[3]</w:t>
      </w:r>
      <w:r>
        <w:t xml:space="preserve"> </w:t>
      </w:r>
      <w:r>
        <w:t xml:space="preserve">only about one-third of specialist referrals reach a completed visit,</w:t>
      </w:r>
      <w:r>
        <w:rPr>
          <w:vertAlign w:val="superscript"/>
        </w:rPr>
        <w:t xml:space="preserve">[4]</w:t>
      </w:r>
      <w:r>
        <w:t xml:space="preserve"> </w:t>
      </w:r>
      <w:r>
        <w:t xml:space="preserve">and such loop-closure failures, rooted in ambiguous responsibility and care-coordination breakdowns, drive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criteria for a computational layer and a three-layer organization of the field (Section 2); a formal definition of the Actionable Clinical Record (ACR) as the atomic object of the third layer (Section 5); an executable-correctness evaluation framework with a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clinical 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EgozXI/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to the proposed layer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address the first two; the missing capability, and the subject of the third layer, is recovering intended process from ordinary communication and converting it into computable,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where possible to a layer-2 coded concept, and</w:t>
      </w:r>
      <w:r>
        <w:t xml:space="preserve"> </w:t>
      </w:r>
      <w:r>
        <w:rPr>
          <w:i/>
          <w:iCs/>
        </w:rPr>
        <w:t xml:space="preserve">dependency</w:t>
      </w:r>
      <w:r>
        <w:t xml:space="preserve"> </w:t>
      </w:r>
      <w:r>
        <w:t xml:space="preserve">encodes ordering relative to other records.</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EgozXI/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whose named rungs prevent over- and under-claiming. Recognizing that “complete blood count” appears in a note belongs to layer 2; extracting “repeat complete blood count”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is the ACR’s</w:t>
      </w:r>
      <w:r>
        <w:t xml:space="preserve"> </w:t>
      </w:r>
      <w:r>
        <w:rPr>
          <w:i/>
          <w:iCs/>
        </w:rPr>
        <w:t xml:space="preserve">status</w:t>
      </w:r>
      <w:r>
        <w:t xml:space="preserve"> </w:t>
      </w:r>
      <w:r>
        <w:t xml:space="preserve">attribute and separates an</w:t>
      </w:r>
      <w:r>
        <w:t xml:space="preserve"> </w:t>
      </w:r>
      <w:r>
        <w:rPr>
          <w:i/>
          <w:iCs/>
        </w:rPr>
        <w:t xml:space="preserve">actionable</w:t>
      </w:r>
      <w:r>
        <w:t xml:space="preserve"> </w:t>
      </w:r>
      <w:r>
        <w:t xml:space="preserve">record from an</w:t>
      </w:r>
      <w:r>
        <w:t xml:space="preserve"> </w:t>
      </w:r>
      <w:r>
        <w:rPr>
          <w:i/>
          <w:iCs/>
        </w:rPr>
        <w:t xml:space="preserve">executable</w:t>
      </w:r>
      <w:r>
        <w:t xml:space="preserve"> </w:t>
      </w:r>
      <w:r>
        <w:t xml:space="preserve">one carrying enough resolved information to act on automatically.</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portal messages, telephone calls, ambient transcripts); its output is a set of ACRs that maps onto infrastructure the field already has.</w:t>
      </w:r>
      <w:r>
        <w:rPr>
          <w:vertAlign w:val="superscript"/>
        </w:rPr>
        <w:t xml:space="preserve">[16]</w:t>
      </w:r>
      <w:r>
        <w:t xml:space="preserve"> </w:t>
      </w:r>
      <w:r>
        <w:t xml:space="preserve">The mapping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 </w:t>
      </w:r>
      <w:r>
        <w:t xml:space="preserve">and its code,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w:t>
      </w:r>
      <w:r>
        <w:t xml:space="preserve"> </w:t>
      </w:r>
      <w:r>
        <w:rPr>
          <w:i/>
          <w:iCs/>
        </w:rPr>
        <w:t xml:space="preserve">actor</w:t>
      </w:r>
      <w:r>
        <w:t xml:space="preserve"> </w:t>
      </w:r>
      <w:r>
        <w:t xml:space="preserve">the owner,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extraction metadata with no native slot. Existing systems execute such instructions once structured; the third layer recovers them from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EgozXI/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(“reduce the dose after seven days”), handoff commitments, referrals, pending-result responsibility, and patient self-management. Recent work on patient messages, incidental-finding follow-up, and ambient documentation indicates these channels routinely carry clinically consequential actionable content, and shared tasks now extract structured orders directly from doctor-patient conversations.</w:t>
      </w:r>
      <w:r>
        <w:rPr>
          <w:vertAlign w:val="superscript"/>
        </w:rPr>
        <w:t xml:space="preserve">[27,28]</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w:t>
      </w:r>
      <w:r>
        <w:rPr>
          <w:vertAlign w:val="superscript"/>
        </w:rPr>
        <w:t xml:space="preserve">[18,19,29,30,31]</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 rather than what should generally happen.</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output contract, not of model capability. General-purpose models interpret clinical language well but are less reliable where the layer is most demanding, in binding an action to its time and normalizing it into an executable schedule without omission or fabrication.</w:t>
      </w:r>
      <w:r>
        <w:rPr>
          <w:vertAlign w:val="superscript"/>
        </w:rPr>
        <w:t xml:space="preserve">[32,33]</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[34]</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[35]</w:t>
      </w:r>
      <w:r>
        <w:t xml:space="preserve"> </w:t>
      </w:r>
      <w:r>
        <w:t xml:space="preserve">while deterministic reasoning resolves times and due dates</w:t>
      </w:r>
      <w:r>
        <w:rPr>
          <w:vertAlign w:val="superscript"/>
        </w:rPr>
        <w:t xml:space="preserve">[36,37,38]</w:t>
      </w:r>
      <w:r>
        <w:t xml:space="preserve"> </w:t>
      </w:r>
      <w:r>
        <w:t xml:space="preserve">and selective prediction routes uncertain cases to a clinician.</w:t>
      </w:r>
      <w:r>
        <w:rPr>
          <w:vertAlign w:val="superscript"/>
        </w:rPr>
        <w:t xml:space="preserve">[39]</w:t>
      </w:r>
      <w:r>
        <w:t xml:space="preserve"> </w:t>
      </w:r>
      <w:r>
        <w:t xml:space="preserve">The requirements can be stated as invariants: every acted-upon record traces to a source span, speaker, and encounter; deterministic semantics are computed, not generated; each inferred attribute carries a calibrated confidence; the system may abstain; higher-consequence actions receive tighter human review;</w:t>
      </w:r>
      <w:r>
        <w:rPr>
          <w:vertAlign w:val="superscript"/>
        </w:rPr>
        <w:t xml:space="preserve">[39]</w:t>
      </w:r>
      <w:r>
        <w:t xml:space="preserve"> </w:t>
      </w:r>
      <w:r>
        <w:t xml:space="preserve">an immutable trace links communication to action for audit;</w:t>
      </w:r>
      <w:r>
        <w:rPr>
          <w:vertAlign w:val="superscript"/>
        </w:rPr>
        <w:t xml:space="preserve">[40]</w:t>
      </w:r>
      <w:r>
        <w:t xml:space="preserve"> </w:t>
      </w:r>
      <w:r>
        <w:t xml:space="preserve">and extracted content stays distinct from inferred. Reliability, not scale, is the governing constraint, and human confirmation is the expected operating mode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source-provenance accuracy; and loop-closure outcome.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[41]</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rather than end-to-end generation; and ambient documentation should extend from notes to tasks and orders.</w:t>
      </w:r>
      <w:r>
        <w:rPr>
          <w:vertAlign w:val="superscript"/>
        </w:rPr>
        <w:t xml:space="preserve">[27,42,43]</w:t>
      </w:r>
      <w:r>
        <w:t xml:space="preserve"> </w:t>
      </w:r>
      <w:r>
        <w:t xml:space="preserve">Failure of these trends would count against it.</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its maturity ladder, and the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discussed in Section 7 derive from a companion study;</w:t>
      </w:r>
      <w:r>
        <w:rPr>
          <w:vertAlign w:val="superscript"/>
        </w:rPr>
        <w:t xml:space="preserve">[41]</w:t>
      </w:r>
      <w:r>
        <w:t xml:space="preserve"> </w:t>
      </w:r>
      <w:r>
        <w:t xml:space="preserve">details of that benchmark are reported therein.</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33.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34.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35.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36.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37.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38.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39.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40.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42.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43.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2026-08-08T16:58:08Z</dcterms:created>
  <dcterms:modified xsi:type="dcterms:W3CDTF">2026-08-08T16:58:08Z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