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only about one-third of specialist referrals reach a completed visit,</w:t>
      </w:r>
      <w:r>
        <w:rPr>
          <w:vertAlign w:val="superscript"/>
        </w:rPr>
        <w:t xml:space="preserve">[4]</w:t>
      </w:r>
      <w:r>
        <w:t xml:space="preserve"> </w:t>
      </w:r>
      <w:r>
        <w:t xml:space="preserve">and such loop-closure failures, rooted in ambiguous responsibility and care-coordination breakdowns, drive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VN4OOg/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to a layer-2 coded concept where possible,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VN4OOg/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linking it to “two weeks” and a responsible actor makes it actionable; and resolving a computed due date and a workflow object makes it executable. Separately, the ACR’s</w:t>
      </w:r>
      <w:r>
        <w:t xml:space="preserve"> </w:t>
      </w:r>
      <w:r>
        <w:rPr>
          <w:i/>
          <w:iCs/>
        </w:rPr>
        <w:t xml:space="preserve">status</w:t>
      </w:r>
      <w:r>
        <w:t xml:space="preserve"> </w:t>
      </w:r>
      <w:r>
        <w:t xml:space="preserve">attribute tracks the workflow lifecycle (</w:t>
      </w:r>
      <w:r>
        <w:rPr>
          <w:i/>
          <w:iCs/>
        </w:rPr>
        <w:t xml:space="preserve">monitored</w:t>
      </w:r>
      <w:r>
        <w:t xml:space="preserve">, then</w:t>
      </w:r>
      <w:r>
        <w:t xml:space="preserve"> </w:t>
      </w:r>
      <w:r>
        <w:rPr>
          <w:i/>
          <w:iCs/>
        </w:rPr>
        <w:t xml:space="preserve">closed</w:t>
      </w:r>
      <w:r>
        <w:t xml:space="preserve">) once an action enters operation, when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[16]</w:t>
      </w:r>
      <w:r>
        <w:t xml:space="preserve"> </w:t>
      </w:r>
      <w:r>
        <w:t xml:space="preserve">The mapping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w:t>
      </w:r>
      <w:r>
        <w:t xml:space="preserve"> </w:t>
      </w:r>
      <w:r>
        <w:rPr>
          <w:i/>
          <w:iCs/>
        </w:rPr>
        <w:t xml:space="preserve">actor</w:t>
      </w:r>
      <w:r>
        <w:t xml:space="preserve"> </w:t>
      </w:r>
      <w:r>
        <w:t xml:space="preserve">the owner,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properties of the recovery process rather than native fields of the target resource. Existing systems execute such instructions once structured; the third layer recovers them from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VN4OOg/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[27,28]</w:t>
      </w:r>
      <w:r>
        <w:t xml:space="preserve"> </w:t>
      </w:r>
      <w:r>
        <w:t xml:space="preserve">indicating these channels carry clinically consequential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[18,19,29,30,31,32,33]</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 rather than what should generally happen.</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 but can produce unreliable or unsupported outputs;</w:t>
      </w:r>
      <w:r>
        <w:rPr>
          <w:vertAlign w:val="superscript"/>
        </w:rPr>
        <w:t xml:space="preserve">[34,35]</w:t>
      </w:r>
      <w:r>
        <w:t xml:space="preserve"> </w:t>
      </w:r>
      <w:r>
        <w:t xml:space="preserve">this matters most where the layer is most demanding, in binding an action to its time and normalizing it into an executable schedule, a setting where general-purpose temporal reasoning is known to be weak.</w:t>
      </w:r>
      <w:r>
        <w:rPr>
          <w:vertAlign w:val="superscript"/>
        </w:rPr>
        <w:t xml:space="preserve">[36]</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[37]</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[38]</w:t>
      </w:r>
      <w:r>
        <w:t xml:space="preserve"> </w:t>
      </w:r>
      <w:r>
        <w:t xml:space="preserve">while deterministic reasoning resolves times and due dates</w:t>
      </w:r>
      <w:r>
        <w:rPr>
          <w:vertAlign w:val="superscript"/>
        </w:rPr>
        <w:t xml:space="preserve">[39,40,41,42]</w:t>
      </w:r>
      <w:r>
        <w:t xml:space="preserve"> </w:t>
      </w:r>
      <w:r>
        <w:t xml:space="preserve">and selective prediction routes uncertain cases to a clinician.</w:t>
      </w:r>
      <w:r>
        <w:rPr>
          <w:vertAlign w:val="superscript"/>
        </w:rPr>
        <w:t xml:space="preserve">[43]</w:t>
      </w:r>
      <w:r>
        <w:t xml:space="preserve"> </w:t>
      </w:r>
      <w:r>
        <w:t xml:space="preserve">The requirements can be stated as invariants: every acted-upon record traces to a source span, speaker, and encounter;</w:t>
      </w:r>
      <w:r>
        <w:rPr>
          <w:vertAlign w:val="superscript"/>
        </w:rPr>
        <w:t xml:space="preserve">[44]</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[43]</w:t>
      </w:r>
      <w:r>
        <w:t xml:space="preserve"> </w:t>
      </w:r>
      <w:r>
        <w:t xml:space="preserve">an immutable trace links communication to action for audit;</w:t>
      </w:r>
      <w:r>
        <w:rPr>
          <w:vertAlign w:val="superscript"/>
        </w:rPr>
        <w:t xml:space="preserve">[45]</w:t>
      </w:r>
      <w:r>
        <w:t xml:space="preserve"> </w:t>
      </w:r>
      <w:r>
        <w:t xml:space="preserve">and extracted content stays distinct from inferred. Reliability, not scale, governs, and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[46]</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[27,47,48]</w:t>
      </w:r>
      <w:r>
        <w:t xml:space="preserve"> </w:t>
      </w:r>
      <w:r>
        <w:t xml:space="preserve">More decisively, the proposal fails if standard representations and metrics suffice to represent and evaluate communication-derived executable intent without the ACR’s distinctions.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its readiness ladder, and the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[46]</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8),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33.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34.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35.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36.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37.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38.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39.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40.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41.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42.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44.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45.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46.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47.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48.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2026-08-08T19:15:46Z</dcterms:created>
  <dcterms:modified xsi:type="dcterms:W3CDTF">2026-08-08T19:15:46Z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