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[10]</w:t>
      </w:r>
      <w:r>
        <w:t xml:space="preserve"> </w:t>
      </w:r>
      <w:r>
        <w:t xml:space="preserve">and to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WFaSGo/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[17]</w:t>
      </w:r>
      <w:r>
        <w:t xml:space="preserve"> </w:t>
      </w:r>
      <w:r>
        <w:t xml:space="preserve">computer-interpretable guidelines and care-pathway models encode executable protocols;</w:t>
      </w:r>
      <w:r>
        <w:rPr>
          <w:vertAlign w:val="superscript"/>
        </w:rPr>
        <w:t xml:space="preserve">[23,24,25]</w:t>
      </w:r>
      <w:r>
        <w:t xml:space="preserve"> </w:t>
      </w:r>
      <w:r>
        <w:t xml:space="preserve">and process mining reconstructs pathways from event logs.</w:t>
      </w:r>
      <w:r>
        <w:rPr>
          <w:vertAlign w:val="superscript"/>
        </w:rPr>
        <w:t xml:space="preserve">[26,27]</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t>
      </w:r>
      <w:r>
        <w:t xml:space="preserve">records recovery-system uncertainty on inferred attributes.</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a calibrated per-attribute uncertainty, routes uncertain records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WFaSGo/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[17,28]</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WFaSGo/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[29,30]</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[30]</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[23,24]</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and normalizing it into an executable schedule,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[49]</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[50]</w:t>
      </w:r>
      <w:r>
        <w:t xml:space="preserve"> </w:t>
      </w:r>
      <w:r>
        <w:t xml:space="preserve">an immutable trace links communication to action for audit;</w:t>
      </w:r>
      <w:r>
        <w:rPr>
          <w:vertAlign w:val="superscript"/>
        </w:rPr>
        <w:t xml:space="preserve">[51]</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[52]</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[17,23]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[29,53,54]</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[52]</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24.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25.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26.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27.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28.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29.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30.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52.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53.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54.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2026-08-09T04:54:08Z</dcterms:created>
  <dcterms:modified xsi:type="dcterms:W3CDTF">2026-08-09T04:54:08Z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