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40"/>
        <w:jc w:val="center"/>
        <w:keepNext/>
        <w:keepLines/>
        <w:widowControl w:val="1"/>
      </w:pPr>
      <w:r>
        <w:rPr>
          <w:rFonts w:ascii="Georgia" w:hAnsi="Georgia"/>
          <w:b/>
          <w:i w:val="0"/>
          <w:sz w:val="24"/>
        </w:rPr>
        <w:t xml:space="preserve">ORCID: Alexander Apartsin 0009-0000-7007-3529 · Yehudit Aperstein 0000-0001-6390-9463</w:t>
      </w:r>
    </w:p>
    <w:p>
      <w:pPr>
        <w:pStyle w:val="Subtitle"/>
        <w:spacing w:before="0" w:after="40"/>
        <w:jc w:val="center"/>
        <w:keepNext/>
        <w:keepLines/>
        <w:widowControl w:val="1"/>
      </w:pPr>
      <w:r>
        <w:rPr>
          <w:rFonts w:ascii="Georgia" w:hAnsi="Georgia"/>
          <w:b/>
          <w:i w:val="0"/>
          <w:sz w:val="24"/>
        </w:rPr>
        <w:t xml:space="preserve">Email: A. Apartsin aalexanderap@hit.ac.il; Y. Aperstein apersteiny@afeka.ac.il</w:t>
      </w:r>
    </w:p>
    <w:p>
      <w:pPr>
        <w:pStyle w:val="Subtitle"/>
        <w:spacing w:before="0" w:after="160"/>
        <w:jc w:val="center"/>
        <w:keepNext w:val="0"/>
        <w:keepLines/>
        <w:widowControl w:val="1"/>
      </w:pPr>
      <w:r>
        <w:rPr>
          <w:rFonts w:ascii="Georgia" w:hAnsi="Georgia"/>
          <w:b w:val="0"/>
          <w:i/>
          <w:sz w:val="20"/>
        </w:rPr>
        <w:t xml:space="preserve">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Research and Applications article. Corresponding author: Yehudit Aperstein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commonly organized by the technologies it adopts. We propose an alternative organizing principle, the unit of information a system makes computable, and use it to define a new computational layer whose atomic object is patient-specific clinical intent.</w:t>
      </w:r>
    </w:p>
    <w:p>
      <w:pPr>
        <w:pStyle w:val="BodyText"/>
        <w:ind w:left="720" w:right="720" w:firstLine="0"/>
        <w:jc w:val="both"/>
        <w:keepNext w:val="0"/>
        <w:keepLines w:val="0"/>
        <w:widowControl w:val="1"/>
      </w:pPr>
      <w:r>
        <w:t xml:space="preserve">Materials and Methods.</w:t>
      </w:r>
      <w:r>
        <w:t xml:space="preserve"> </w:t>
      </w:r>
      <w:r>
        <w:t xml:space="preserve">We specify criteria for a computational layer of healthcare IT; apply them to derive three layers (record, clinical state, and a proposed layer of clinical intent); formalize the Actionable Clinical Record (ACR) as the atomic object of the third layer; propose an executable-correctness evaluation framework for ACR recovery; and assess feasibility on one minimal task, follow-up-instruction extraction.</w:t>
      </w:r>
    </w:p>
    <w:p>
      <w:pPr>
        <w:pStyle w:val="BodyText"/>
        <w:ind w:left="720" w:right="720" w:firstLine="0"/>
        <w:jc w:val="both"/>
        <w:keepNext w:val="0"/>
        <w:keepLines w:val="0"/>
        <w:widowControl w:val="1"/>
      </w:pPr>
      <w:r>
        <w:t xml:space="preserve">Results.</w:t>
      </w:r>
      <w:r>
        <w:t xml:space="preserve"> </w:t>
      </w:r>
      <w:r>
        <w:t xml:space="preserve">The framework separates prescribed, observed, and intended process, and identifies the recovery of intended process from clinical communication as the capability existing standards do not provide. On the feasibility task, a hybrid neural-symbolic pipeline reaches action–time Pair F1 of 0.997 on a controlled benchmark, while general-purpose language models reach approximately 0.53.</w:t>
      </w:r>
    </w:p>
    <w:p>
      <w:pPr>
        <w:pStyle w:val="BodyText"/>
        <w:ind w:left="720" w:right="720" w:firstLine="0"/>
        <w:jc w:val="both"/>
        <w:keepNext w:val="0"/>
        <w:keepLines w:val="0"/>
        <w:widowControl w:val="1"/>
      </w:pPr>
      <w:r>
        <w:t xml:space="preserve">Discussion.</w:t>
      </w:r>
      <w:r>
        <w:t xml:space="preserve"> </w:t>
      </w:r>
      <w:r>
        <w:t xml:space="preserve">The ACR is complementary to FHIR workflow resources, computer-interpretable guidelines, and process mining, which operationalize intent once it has been structured. Reliability, formulated as an explicit system property, rather than fluency, is the governing constraint.</w:t>
      </w:r>
    </w:p>
    <w:p>
      <w:pPr>
        <w:pStyle w:val="BodyText"/>
        <w:ind w:left="720" w:right="720" w:firstLine="0"/>
        <w:jc w:val="both"/>
        <w:keepNext w:val="0"/>
        <w:keepLines w:val="0"/>
        <w:widowControl w:val="1"/>
      </w:pPr>
      <w:r>
        <w:t xml:space="preserve">Conclusion.</w:t>
      </w:r>
      <w:r>
        <w:t xml:space="preserve"> </w:t>
      </w:r>
      <w:r>
        <w:t xml:space="preserve">"Computable clinical intent" is a tractable research area with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individual technologies it adopts, which change rapidly.</w:t>
      </w:r>
      <w:r>
        <w:rPr>
          <w:vertAlign w:val="superscript"/>
        </w:rPr>
        <w:t xml:space="preserve">[1,2]</w:t>
      </w:r>
      <w:r>
        <w:t xml:space="preserve"> </w:t>
      </w:r>
      <w:r>
        <w:t xml:space="preserve">Organized this way, we argue, the field’s history has a compact form: the first generation made the clinical</w:t>
      </w:r>
      <w:r>
        <w:t xml:space="preserve"> </w:t>
      </w:r>
      <w:r>
        <w:rPr>
          <w:i/>
          <w:iCs/>
        </w:rPr>
        <w:t xml:space="preserve">record</w:t>
      </w:r>
      <w:r>
        <w:t xml:space="preserve"> </w:t>
      </w:r>
      <w:r>
        <w:t xml:space="preserve">computable, the second made the clinical</w:t>
      </w:r>
      <w:r>
        <w:t xml:space="preserve"> </w:t>
      </w:r>
      <w:r>
        <w:rPr>
          <w:i/>
          <w:iCs/>
        </w:rPr>
        <w:t xml:space="preserve">fact</w:t>
      </w:r>
      <w:r>
        <w:t xml:space="preserve"> </w:t>
      </w:r>
      <w:r>
        <w:t xml:space="preserve">computable, and a third, which we propose as an emerging layer, makes patient-specific clinical</w:t>
      </w:r>
      <w:r>
        <w:t xml:space="preserve"> </w:t>
      </w:r>
      <w:r>
        <w:rPr>
          <w:i/>
          <w:iCs/>
        </w:rPr>
        <w:t xml:space="preserve">intent</w:t>
      </w:r>
      <w:r>
        <w:t xml:space="preserve"> </w:t>
      </w:r>
      <w:r>
        <w:t xml:space="preserve">computable from clinical communication. We use</w:t>
      </w:r>
      <w:r>
        <w:t xml:space="preserve"> </w:t>
      </w:r>
      <w:r>
        <w:rPr>
          <w:i/>
          <w:iCs/>
        </w:rPr>
        <w:t xml:space="preserve">generation</w:t>
      </w:r>
      <w:r>
        <w:t xml:space="preserve"> </w:t>
      </w:r>
      <w:r>
        <w:t xml:space="preserve">to denote the historical emergence of a new computational layer; the resulting layers accumulate rather than replace one another.</w:t>
      </w:r>
    </w:p>
    <w:p>
      <w:pPr>
        <w:pStyle w:val="BodyText"/>
        <w:jc w:val="both"/>
        <w:keepNext w:val="0"/>
        <w:keepLines w:val="0"/>
        <w:widowControl w:val="1"/>
      </w:pPr>
      <w:r>
        <w:t xml:space="preserve">The motivation is a limitation that persists after the first two layers are in place. When a clinician records “repeat the complete blood count in two weeks” or “refer to cardiology if symptoms persist,” the instruction is decisive for care yet is captured only as narrative text; its action, timing, condition, and responsible actor remain outside the computable substrate. The downstream cost is measurable. Failure to follow up test results in ambulatory care is common,</w:t>
      </w:r>
      <w:r>
        <w:rPr>
          <w:vertAlign w:val="superscript"/>
        </w:rPr>
        <w:t xml:space="preserve">[3]</w:t>
      </w:r>
      <w:r>
        <w:t xml:space="preserve"> </w:t>
      </w:r>
      <w:r>
        <w:t xml:space="preserve">and only about one-third of specialist referrals reach a documented completed visit.</w:t>
      </w:r>
      <w:r>
        <w:rPr>
          <w:vertAlign w:val="superscript"/>
        </w:rPr>
        <w:t xml:space="preserve">[4]</w:t>
      </w:r>
      <w:r>
        <w:t xml:space="preserve"> </w:t>
      </w:r>
      <w:r>
        <w:t xml:space="preserve">Such loop-closure failures contribute to diagnostic error and avoidable harm.</w:t>
      </w:r>
      <w:r>
        <w:rPr>
          <w:vertAlign w:val="superscript"/>
        </w:rPr>
        <w:t xml:space="preserve">[5,6]</w:t>
      </w:r>
    </w:p>
    <w:p>
      <w:pPr>
        <w:pStyle w:val="BodyText"/>
        <w:jc w:val="both"/>
        <w:keepNext w:val="0"/>
        <w:keepLines w:val="0"/>
        <w:widowControl w:val="1"/>
      </w:pPr>
      <w:r>
        <w:t xml:space="preserve">This article makes four contributions. First, we state explicit criteria for a computational layer of healthcare IT and use them to organize the field into three layers (Section 2). Second, we formalize the Actionable Clinical Record (ACR) as the atomic object of the third layer, with a numbered definition and a maturity ladder (Section 6). Third, we specify an executable-correctness evaluation framework for ACR recovery (Section 8). Fourth, we report a formative feasibility instance and a structured research agenda (Sections 8–9). Throughout, we distinguish what we establish (a framework and a minimal feasibility result) from what we propose (an emerging layer and its research program).</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technological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w:t>
      </w:r>
      <w:r>
        <w:t xml:space="preserve">that makes the shift clinically or economically pressing;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the layer does not resolve. The residual limitation of each layer motivates the computational object addressed by the next. A candidate layer that does not satisfy these markers is better interpreted as an incremental capability within an existing layer.</w:t>
      </w:r>
    </w:p>
    <w:p>
      <w:pPr>
        <w:pStyle w:val="BodyText"/>
        <w:jc w:val="both"/>
        <w:keepNext w:val="0"/>
        <w:keepLines w:val="0"/>
        <w:widowControl w:val="1"/>
      </w:pPr>
      <w:r>
        <w:t xml:space="preserve">Two properties of the framework require emphasis. First, the layers are</w:t>
      </w:r>
      <w:r>
        <w:t xml:space="preserve"> </w:t>
      </w:r>
      <w:r>
        <w:rPr>
          <w:i/>
          <w:iCs/>
        </w:rPr>
        <w:t xml:space="preserve">cumulative</w:t>
      </w:r>
      <w:r>
        <w:t xml:space="preserve">: each subsumes the capabilities beneath it (Figure 1). Second, the layers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the third is a</w:t>
      </w:r>
      <w:r>
        <w:t xml:space="preserve"> </w:t>
      </w:r>
      <w:r>
        <w:rPr>
          <w:i/>
          <w:iCs/>
        </w:rPr>
        <w:t xml:space="preserve">prospective hypothesis</w:t>
      </w:r>
      <w:r>
        <w:t xml:space="preserve"> </w:t>
      </w:r>
      <w:r>
        <w:t xml:space="preserve">about an emerging capability, and we treat it as such. The framework is complementary to existing models: the data–information–knowledge hierarchy describes a generic ascent from data to knowledge,</w:t>
      </w:r>
      <w:r>
        <w:rPr>
          <w:vertAlign w:val="superscript"/>
        </w:rPr>
        <w:t xml:space="preserve">[7]</w:t>
      </w:r>
      <w:r>
        <w:t xml:space="preserve"> </w:t>
      </w:r>
      <w:r>
        <w:t xml:space="preserve">and digital-maturity models such as EMRAM measure how much capability an institution has adopted,</w:t>
      </w:r>
      <w:r>
        <w:rPr>
          <w:vertAlign w:val="superscript"/>
        </w:rPr>
        <w:t xml:space="preserve">[8,9]</w:t>
      </w:r>
      <w:r>
        <w:t xml:space="preserve"> </w:t>
      </w:r>
      <w:r>
        <w:t xml:space="preserve">whereas our concern is</w:t>
      </w:r>
      <w:r>
        <w:t xml:space="preserve"> </w:t>
      </w:r>
      <w:r>
        <w:rPr>
          <w:i/>
          <w:iCs/>
        </w:rPr>
        <w:t xml:space="preserve">which</w:t>
      </w:r>
      <w:r>
        <w:t xml:space="preserve"> </w:t>
      </w:r>
      <w:r>
        <w:t xml:space="preserve">clinical object becomes computable. Table 1 summarizes the three layers.</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KDMFrX/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generation-one-the-clinical-record"/>
    <w:p>
      <w:pPr>
        <w:pStyle w:val="Heading2"/>
        <w:keepNext/>
        <w:keepLines/>
        <w:widowControl w:val="1"/>
      </w:pPr>
      <w:r>
        <w:t xml:space="preserve">3. Generation One: The Clinical Record</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transactional operations such as order entry and results routing. In the United States this was accelerated by the HITECH Act and the Meaningful Use program, which moved adoption from a minority of hospitals to near-universal within a decade.</w:t>
      </w:r>
      <w:r>
        <w:rPr>
          <w:vertAlign w:val="superscript"/>
        </w:rPr>
        <w:t xml:space="preserve">[10,11]</w:t>
      </w:r>
      <w:r>
        <w:t xml:space="preserve"> </w:t>
      </w:r>
      <w:r>
        <w:t xml:space="preserve">The intellectual antecedent is older: the problem-oriented medical record proposed that the chart be an organized, auditable structure rather than a chronological narrative.</w:t>
      </w:r>
      <w:r>
        <w:rPr>
          <w:vertAlign w:val="superscript"/>
        </w:rPr>
        <w:t xml:space="preserve">[12]</w:t>
      </w:r>
      <w:r>
        <w:t xml:space="preserve"> </w:t>
      </w:r>
      <w:r>
        <w:t xml:space="preserve">The enabling technology was the transactional database, without automated interpretation of clinical content: information was stored and moved, but its clinical meaning was not made computable across systems. That residual limitation motivated the second layer.</w:t>
      </w:r>
    </w:p>
    <w:bookmarkEnd w:id="16"/>
    <w:bookmarkStart w:id="17" w:name="generation-two-computable-clinical-state"/>
    <w:p>
      <w:pPr>
        <w:pStyle w:val="Heading2"/>
        <w:keepNext/>
        <w:keepLines/>
        <w:widowControl w:val="1"/>
      </w:pPr>
      <w:r>
        <w:t xml:space="preserve">4. Generation Two: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controlled terminologies and ontologies,</w:t>
      </w:r>
      <w:r>
        <w:rPr>
          <w:vertAlign w:val="superscript"/>
        </w:rPr>
        <w:t xml:space="preserve">[13]</w:t>
      </w:r>
      <w:r>
        <w:t xml:space="preserve"> </w:t>
      </w:r>
      <w:r>
        <w:t xml:space="preserve">computerized order entry and coded problem and medication lists, clinical data warehouses, and interoperability standards</w:t>
      </w:r>
      <w:r>
        <w:rPr>
          <w:vertAlign w:val="superscript"/>
        </w:rPr>
        <w:t xml:space="preserve">[14,15]</w:t>
      </w:r>
      <w:r>
        <w:t xml:space="preserve"> </w:t>
      </w:r>
      <w:r>
        <w:t xml:space="preserve">were as consequential as language processing. Clinical natural-language processing was one route by which narrative facts entered this semantic layer: systems such as MedLEE and cTAKES parsed reports into coded concepts,</w:t>
      </w:r>
      <w:r>
        <w:rPr>
          <w:vertAlign w:val="superscript"/>
        </w:rPr>
        <w:t xml:space="preserve">[16,17]</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[18]</w:t>
      </w:r>
      <w:r>
        <w:t xml:space="preserve"> </w:t>
      </w:r>
      <w:r>
        <w:t xml:space="preserve">A persistent tension remained: encoding clinical meaning into structured fields captures facts, while much of the reasoning, and nearly all of the intended action, stays in narrative.</w:t>
      </w:r>
      <w:r>
        <w:rPr>
          <w:vertAlign w:val="superscript"/>
        </w:rPr>
        <w:t xml:space="preserve">[19]</w:t>
      </w:r>
    </w:p>
    <w:bookmarkEnd w:id="17"/>
    <w:bookmarkStart w:id="18" w:name="the-remaining-computational-gap"/>
    <w:p>
      <w:pPr>
        <w:pStyle w:val="Heading2"/>
        <w:keepNext/>
        <w:keepLines/>
        <w:widowControl w:val="1"/>
      </w:pPr>
      <w:r>
        <w:t xml:space="preserve">5.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It would be inaccurate to say that healthcare IT cannot represent process: it represents process well once a person or system has structured it.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process-mining methods reconstruct pathways from event logs.</w:t>
      </w:r>
      <w:r>
        <w:rPr>
          <w:vertAlign w:val="superscript"/>
        </w:rPr>
        <w:t xml:space="preserve">[22,23]</w:t>
      </w:r>
      <w:r>
        <w:t xml:space="preserve"> </w:t>
      </w:r>
      <w:r>
        <w:t xml:space="preserve">These paradigms are complementary to the proposed layer and, in many cases, provide the infrastructure required to operationalize its outputs.</w:t>
      </w:r>
    </w:p>
    <w:p>
      <w:pPr>
        <w:pStyle w:val="BodyText"/>
        <w:jc w:val="both"/>
        <w:keepNext w:val="0"/>
        <w:keepLines w:val="0"/>
        <w:widowControl w:val="1"/>
      </w:pPr>
      <w:r>
        <w:t xml:space="preserve">The distinction that isolates the gap is among three kinds of process information (Table 2).</w:t>
      </w:r>
      <w:r>
        <w:t xml:space="preserve"> </w:t>
      </w:r>
      <w:r>
        <w:rPr>
          <w:i/>
          <w:iCs/>
        </w:rPr>
        <w:t xml:space="preserve">Prescribed</w:t>
      </w:r>
      <w:r>
        <w:t xml:space="preserve"> </w:t>
      </w:r>
      <w:r>
        <w:t xml:space="preserve">process is what should generally happen, the domain of guidelines and clinical decision support.</w:t>
      </w:r>
      <w:r>
        <w:t xml:space="preserve"> </w:t>
      </w:r>
      <w:r>
        <w:rPr>
          <w:i/>
          <w:iCs/>
        </w:rPr>
        <w:t xml:space="preserve">Observed</w:t>
      </w:r>
      <w:r>
        <w:t xml:space="preserve"> </w:t>
      </w:r>
      <w:r>
        <w:t xml:space="preserve">process is what actually happened, the domain of records and process mining.</w:t>
      </w:r>
      <w:r>
        <w:t xml:space="preserve"> </w:t>
      </w:r>
      <w:r>
        <w:rPr>
          <w:i/>
          <w:iCs/>
        </w:rPr>
        <w:t xml:space="preserve">Intended</w:t>
      </w:r>
      <w:r>
        <w:t xml:space="preserve"> </w:t>
      </w:r>
      <w:r>
        <w:t xml:space="preserve">process is what is supposed to happen for a specific patient, and it is expressed primarily in clinical communication. Existing paradigms address the prescribed and observed kinds. The capability that is missing is recovering intended process directly from ordinary communication and converting it into a computable, executable form. That capability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8"/>
    <w:bookmarkStart w:id="32" w:name="X207377efa3b2e5d2e7956937f84e6a3c6099e13"/>
    <w:p>
      <w:pPr>
        <w:pStyle w:val="Heading2"/>
        <w:keepNext/>
        <w:keepLines/>
        <w:widowControl w:val="1"/>
      </w:pPr>
      <w:r>
        <w:t xml:space="preserve">6. Generation Three: Computable Clinical Intent</w:t>
      </w:r>
    </w:p>
    <w:p>
      <w:pPr>
        <w:pStyle w:val="FirstParagraph"/>
        <w:jc w:val="both"/>
        <w:keepNext w:val="0"/>
        <w:keepLines w:val="0"/>
        <w:widowControl w:val="1"/>
      </w:pPr>
      <w:r>
        <w:t xml:space="preserve">We propose that the third layer makes patient-specific clinical intent computable by recovering it from clinical communication and representing it in a structured, executable form. To keep the argument precise, we use a single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computationally as an</w:t>
      </w:r>
      <w:r>
        <w:t xml:space="preserve"> </w:t>
      </w:r>
      <w:r>
        <w:rPr>
          <w:i/>
          <w:iCs/>
        </w:rPr>
        <w:t xml:space="preserve">Actionable Clinical Record</w:t>
      </w:r>
      <w:r>
        <w:t xml:space="preserve">; a set of ACRs and related events constitutes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5"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rather than as free text.</w:t>
      </w:r>
      <w:r>
        <w:t xml:space="preserve"> </w:t>
      </w:r>
      <w:r>
        <w:rPr>
          <w:i/>
          <w:iCs/>
        </w:rPr>
        <w:t xml:space="preserve">Action</w:t>
      </w:r>
      <w:r>
        <w:t xml:space="preserve"> </w:t>
      </w:r>
      <w:r>
        <w:t xml:space="preserve">is the intended clinical act;</w:t>
      </w:r>
      <w:r>
        <w:t xml:space="preserve"> </w:t>
      </w:r>
      <w:r>
        <w:rPr>
          <w:i/>
          <w:iCs/>
        </w:rPr>
        <w:t xml:space="preserve">target</w:t>
      </w:r>
      <w:r>
        <w:t xml:space="preserve"> </w:t>
      </w:r>
      <w:r>
        <w:t xml:space="preserve">is its object, linked where possible to a layer-2 coded concept;</w:t>
      </w:r>
      <w:r>
        <w:t xml:space="preserve"> </w:t>
      </w:r>
      <w:r>
        <w:rPr>
          <w:i/>
          <w:iCs/>
        </w:rPr>
        <w:t xml:space="preserve">actor</w:t>
      </w:r>
      <w:r>
        <w:t xml:space="preserve"> </w:t>
      </w:r>
      <w:r>
        <w:t xml:space="preserve">is the responsible party, which may be unresolved and flagged as such;</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 or precondition;</w:t>
      </w:r>
      <w:r>
        <w:t xml:space="preserve"> </w:t>
      </w:r>
      <w:r>
        <w:rPr>
          <w:i/>
          <w:iCs/>
        </w:rPr>
        <w:t xml:space="preserve">dependency</w:t>
      </w:r>
      <w:r>
        <w:t xml:space="preserve"> </w:t>
      </w:r>
      <w:r>
        <w:t xml:space="preserve">encodes ordering relative to other records or results;</w:t>
      </w:r>
      <w:r>
        <w:t xml:space="preserve"> </w:t>
      </w:r>
      <w:r>
        <w:rPr>
          <w:i/>
          <w:iCs/>
        </w:rPr>
        <w:t xml:space="preserve">status</w:t>
      </w:r>
      <w:r>
        <w:t xml:space="preserve"> </w:t>
      </w:r>
      <w:r>
        <w:t xml:space="preserve">is the record’s position on the maturity ladder below;</w:t>
      </w:r>
      <w:r>
        <w:t xml:space="preserve"> </w:t>
      </w:r>
      <w:r>
        <w:rPr>
          <w:i/>
          <w:iCs/>
        </w:rPr>
        <w:t xml:space="preserve">provenance</w:t>
      </w:r>
      <w:r>
        <w:t xml:space="preserve"> </w:t>
      </w:r>
      <w:r>
        <w:t xml:space="preserve">grounds the record in its source communication, span, speaker, and encounter; and</w:t>
      </w:r>
      <w:r>
        <w:t xml:space="preserve"> </w:t>
      </w:r>
      <w:r>
        <w:rPr>
          <w:i/>
          <w:iCs/>
        </w:rPr>
        <w:t xml:space="preserve">confidence</w:t>
      </w:r>
      <w:r>
        <w:t xml:space="preserve"> </w:t>
      </w:r>
      <w:r>
        <w:t xml:space="preserve">is a calibrated, per-attribute uncertainty used to route uncertain records to human review (Figure 2).</w:t>
      </w:r>
    </w:p>
    <w:p>
      <w:pPr>
        <w:pStyle w:val="BodyText"/>
        <w:jc w:val="center"/>
        <w:keepNext/>
        <w:keepLines/>
        <w:widowControl w:val="1"/>
      </w:pPr>
      <w:r>
        <w:drawing>
          <wp:inline>
            <wp:extent cx="5943600" cy="932602"/>
            <wp:effectExtent b="0" l="0" r="0" t="0"/>
            <wp:docPr descr="" title="" id="20" name="Picture"/>
            <a:graphic>
              <a:graphicData uri="http://schemas.openxmlformats.org/drawingml/2006/picture">
                <pic:pic>
                  <pic:nvPicPr>
                    <pic:cNvPr descr="E:/tmp/html2doc_svg_KDMFrX/svg_1.png" id="21" name="Picture"/>
                    <pic:cNvPicPr>
                      <a:picLocks noChangeArrowheads="1" noChangeAspect="1"/>
                    </pic:cNvPicPr>
                  </pic:nvPicPr>
                  <pic:blipFill>
                    <a:blip r:embed="rId19"/>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rather than a single capability, and naming its rungs prevents both over- and under-claiming (Figure 3). Recognizing that a concept such as “complete blood count” appears in a note belongs to layer 2. Extracting “repeat complete blood count” as an intended action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also distinguishes an</w:t>
      </w:r>
      <w:r>
        <w:t xml:space="preserve"> </w:t>
      </w:r>
      <w:r>
        <w:rPr>
          <w:i/>
          <w:iCs/>
        </w:rPr>
        <w:t xml:space="preserve">actionable</w:t>
      </w:r>
      <w:r>
        <w:t xml:space="preserve"> </w:t>
      </w:r>
      <w:r>
        <w:t xml:space="preserve">record (a well-formed intent) from an</w:t>
      </w:r>
      <w:r>
        <w:t xml:space="preserve"> </w:t>
      </w:r>
      <w:r>
        <w:rPr>
          <w:i/>
          <w:iCs/>
        </w:rPr>
        <w:t xml:space="preserve">executable</w:t>
      </w:r>
      <w:r>
        <w:t xml:space="preserve"> </w:t>
      </w:r>
      <w:r>
        <w:t xml:space="preserve">one (an intent with enough resolved information to act on automatically), and it doubles as the ACR’s</w:t>
      </w:r>
      <w:r>
        <w:t xml:space="preserve"> </w:t>
      </w:r>
      <w:r>
        <w:rPr>
          <w:i/>
          <w:iCs/>
        </w:rPr>
        <w:t xml:space="preserve">status</w:t>
      </w:r>
      <w:r>
        <w:t xml:space="preserve"> </w:t>
      </w:r>
      <w:r>
        <w:t xml:space="preserve">attribute.</w:t>
      </w:r>
    </w:p>
    <w:p>
      <w:pPr>
        <w:pStyle w:val="BodyText"/>
        <w:jc w:val="center"/>
        <w:keepNext/>
        <w:keepLines/>
        <w:widowControl w:val="1"/>
      </w:pPr>
      <w:r>
        <w:drawing>
          <wp:inline>
            <wp:extent cx="5943600" cy="355562"/>
            <wp:effectExtent b="0" l="0" r="0" t="0"/>
            <wp:docPr descr="" title="" id="23" name="Picture"/>
            <a:graphic>
              <a:graphicData uri="http://schemas.openxmlformats.org/drawingml/2006/picture">
                <pic:pic>
                  <pic:nvPicPr>
                    <pic:cNvPr descr="E:/tmp/html2doc_svg_KDMFrX/svg_2.png" id="24" name="Picture"/>
                    <pic:cNvPicPr>
                      <a:picLocks noChangeArrowheads="1" noChangeAspect="1"/>
                    </pic:cNvPicPr>
                  </pic:nvPicPr>
                  <pic:blipFill>
                    <a:blip r:embed="rId22"/>
                    <a:stretch>
                      <a:fillRect/>
                    </a:stretch>
                  </pic:blipFill>
                  <pic:spPr bwMode="auto">
                    <a:xfrm>
                      <a:off x="0" y="0"/>
                      <a:ext cx="5943600" cy="3555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Alt text: six points along a line, from mentioned to closed, showing increasing computational maturity from concept recognition (layer 2) to closed-loop execution.</w:t>
      </w:r>
    </w:p>
    <w:bookmarkEnd w:id="25"/>
    <w:bookmarkStart w:id="29" w:name="from-communication-to-workflow"/>
    <w:p>
      <w:pPr>
        <w:pStyle w:val="Heading3"/>
        <w:keepNext/>
        <w:keepLines/>
        <w:widowControl w:val="1"/>
      </w:pPr>
      <w:r>
        <w:t xml:space="preserve">6.2 From communication to workflow</w:t>
      </w:r>
    </w:p>
    <w:p>
      <w:pPr>
        <w:pStyle w:val="FirstParagraph"/>
        <w:jc w:val="both"/>
        <w:keepNext w:val="0"/>
        <w:keepLines w:val="0"/>
        <w:widowControl w:val="1"/>
      </w:pPr>
      <w:r>
        <w:t xml:space="preserve">The third layer functions as a bridge rather than a replacement for the electronic health record (Figure 4). Its input surface is the range of clinical communication: discharge instructions, patient–clinician conversation, nurse and emergency handovers, referral correspondence, portal messages, telephone calls, and ambient encounter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work queues, referral systems, and results management.</w:t>
      </w:r>
      <w:r>
        <w:rPr>
          <w:vertAlign w:val="superscript"/>
        </w:rPr>
        <w:t xml:space="preserve">[14]</w:t>
      </w:r>
      <w:r>
        <w:t xml:space="preserve"> </w:t>
      </w:r>
      <w:r>
        <w:t xml:space="preserve">Existing systems can execute instructions once they are structured; the capability the third layer adds is recovering those instructions when they originate as natural communication.</w:t>
      </w:r>
    </w:p>
    <w:p>
      <w:pPr>
        <w:pStyle w:val="BodyText"/>
        <w:jc w:val="center"/>
        <w:keepNext/>
        <w:keepLines/>
        <w:widowControl w:val="1"/>
      </w:pPr>
      <w:r>
        <w:drawing>
          <wp:inline>
            <wp:extent cx="5943600" cy="1585251"/>
            <wp:effectExtent b="0" l="0" r="0" t="0"/>
            <wp:docPr descr="" title="" id="27" name="Picture"/>
            <a:graphic>
              <a:graphicData uri="http://schemas.openxmlformats.org/drawingml/2006/picture">
                <pic:pic>
                  <pic:nvPicPr>
                    <pic:cNvPr descr="E:/tmp/html2doc_svg_KDMFrX/svg_3.png" id="28" name="Picture"/>
                    <pic:cNvPicPr>
                      <a:picLocks noChangeArrowheads="1" noChangeAspect="1"/>
                    </pic:cNvPicPr>
                  </pic:nvPicPr>
                  <pic:blipFill>
                    <a:blip r:embed="rId26"/>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bookmarkEnd w:id="29"/>
    <w:bookmarkStart w:id="30" w:name="representative-use-cases"/>
    <w:p>
      <w:pPr>
        <w:pStyle w:val="Heading3"/>
        <w:keepNext/>
        <w:keepLines/>
        <w:widowControl w:val="1"/>
      </w:pPr>
      <w:r>
        <w:t xml:space="preserve">6.3 Representative use cases</w:t>
      </w:r>
    </w:p>
    <w:p>
      <w:pPr>
        <w:pStyle w:val="FirstParagraph"/>
        <w:jc w:val="both"/>
        <w:keepNext w:val="0"/>
        <w:keepLines w:val="0"/>
        <w:widowControl w:val="1"/>
      </w:pPr>
      <w:r>
        <w:t xml:space="preserve">Follow-up is the most-documented case, but it is one member of a broader class of communication-derived process objects that share the ACR representation (Table 3). Recent developments in patient-message handling, incidental-finding follow-up, and ambient documentation indicate that these communication channels routinely carry clinically consequential actionable content.</w:t>
      </w:r>
      <w:r>
        <w:rPr>
          <w:vertAlign w:val="superscript"/>
        </w:rPr>
        <w:t xml:space="preserve">[24]</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attributes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Communication-derived process objects sharing the ACR representation. Follow-up is the feasibility instance of Section 8; the others share the same schema.</w:t>
      </w:r>
    </w:p>
    <w:bookmarkEnd w:id="30"/>
    <w:bookmarkStart w:id="31" w:name="relation-to-existing-paradigms"/>
    <w:p>
      <w:pPr>
        <w:pStyle w:val="Heading3"/>
        <w:keepNext/>
        <w:keepLines/>
        <w:widowControl w:val="1"/>
      </w:pPr>
      <w:r>
        <w:t xml:space="preserve">6.4 Relation to existing paradigms</w:t>
      </w:r>
    </w:p>
    <w:p>
      <w:pPr>
        <w:pStyle w:val="FirstParagraph"/>
        <w:jc w:val="both"/>
        <w:keepNext w:val="0"/>
        <w:keepLines w:val="0"/>
        <w:widowControl w:val="1"/>
      </w:pPr>
      <w:r>
        <w:t xml:space="preserve">Two mature lines can be mistaken for the third layer. The first is clinical NLP. Concept extraction produces</w:t>
      </w:r>
      <w:r>
        <w:t xml:space="preserve"> </w:t>
      </w:r>
      <w:r>
        <w:rPr>
          <w:i/>
          <w:iCs/>
        </w:rPr>
        <w:t xml:space="preserve">facts</w:t>
      </w:r>
      <w:r>
        <w:t xml:space="preserve">: it records that a concept appears, which populates the layer-2 representation.</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to index; the object differs and the required reliability differs. Advances in language models improve the feasibility of recovering the relevant relations from heterogeneous clinical language, but improving clinical NLP is not, by itself, a layer transition. The second is computer-interpretable guidelines, which encode generic, population-level protocols as executable models;</w:t>
      </w:r>
      <w:r>
        <w:rPr>
          <w:vertAlign w:val="superscript"/>
        </w:rPr>
        <w:t xml:space="preserve">[20,21]</w:t>
      </w:r>
      <w:r>
        <w:t xml:space="preserve"> </w:t>
      </w:r>
      <w:r>
        <w:t xml:space="preserve">the third layer recovers patient-specific records from the communication of a particular encounter. The two are complementary: guidelines state what should generally happen, and the third layer captures what a clinician actually instructed for this patient.</w:t>
      </w:r>
    </w:p>
    <w:bookmarkEnd w:id="31"/>
    <w:bookmarkEnd w:id="32"/>
    <w:bookmarkStart w:id="33" w:name="reliability-and-architecture"/>
    <w:p>
      <w:pPr>
        <w:pStyle w:val="Heading2"/>
        <w:keepNext/>
        <w:keepLines/>
        <w:widowControl w:val="1"/>
      </w:pPr>
      <w:r>
        <w:t xml:space="preserve">7.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system’s output contract rather than gaps in model capability: a system that acts on patient trajectories must establish that a computed date is correct and trace it to its source, however fluent the underlying model becomes.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Hybrid architecture.</w:t>
      </w:r>
      <w:r>
        <w:t xml:space="preserve"> </w:t>
      </w:r>
      <w:r>
        <w:t xml:space="preserve">These requirements motivate a decomposition in which learned components perform interpretation and explicit components perform verifiable structure.</w:t>
      </w:r>
      <w:r>
        <w:rPr>
          <w:vertAlign w:val="superscript"/>
        </w:rPr>
        <w:t xml:space="preserve">[28]</w:t>
      </w:r>
      <w:r>
        <w:t xml:space="preserve"> </w:t>
      </w:r>
      <w:r>
        <w:t xml:space="preserve">The argument for explicit reasoning is specific rather than general: some workflow semantics, including calendar arithmetic, dependency ordering, and status transitions, are formally specified, and explicit components can provide deterministic or independently verifiable transformations where those semantics hold. Learned extraction supplies candidate actions and arguments;</w:t>
      </w:r>
      <w:r>
        <w:rPr>
          <w:vertAlign w:val="superscript"/>
        </w:rPr>
        <w:t xml:space="preserve">[29]</w:t>
      </w:r>
      <w:r>
        <w:t xml:space="preserve"> </w:t>
      </w:r>
      <w:r>
        <w:t xml:space="preserve">deterministic reasoning resolves times and dependencies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Reliability, rather than scale, is the governing constraint on this architecture.</w:t>
      </w:r>
    </w:p>
    <w:p>
      <w:pPr>
        <w:pStyle w:val="BodyText"/>
        <w:jc w:val="both"/>
        <w:keepNext w:val="0"/>
        <w:keepLines w:val="0"/>
        <w:widowControl w:val="1"/>
      </w:pPr>
      <w:r>
        <w:t xml:space="preserve">Provenance, calibration, and oversight.</w:t>
      </w:r>
      <w:r>
        <w:t xml:space="preserve"> </w:t>
      </w:r>
      <w:r>
        <w:t xml:space="preserve">We formulate reliability as an explicit system property expressed as invariants that a care-process system should satisfy: every acted-upon record traces to a source span, speaker, and encounter (provenance); deterministic semantics are computed rather than generated; a calibrated confidence accompanies each inferred attribute; the system may abstain rather than guess; higher-consequence actions receive proportionately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the boundary between extracted and inferred content is explicit. These invariants connect the third layer to the earlier program of computer-interpretable guidelines and care pathways, which sought executable models of process but lacked a reliable path from free-text communication into those models.</w:t>
      </w:r>
      <w:r>
        <w:rPr>
          <w:vertAlign w:val="superscript"/>
        </w:rPr>
        <w:t xml:space="preserve">[20,21]</w:t>
      </w:r>
    </w:p>
    <w:bookmarkEnd w:id="33"/>
    <w:bookmarkStart w:id="34" w:name="evaluation-framework-and-feasibility"/>
    <w:p>
      <w:pPr>
        <w:pStyle w:val="Heading2"/>
        <w:keepNext/>
        <w:keepLines/>
        <w:widowControl w:val="1"/>
      </w:pPr>
      <w:r>
        <w:t xml:space="preserve">8.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unsupported-action rate (fabricated commitments); omitted-action rate; calibration and selective-risk behavior; source-provenance accuracy; and, ultimately, loop-closure outcome. This framework, rather than any single score, is the contribution we intend other groups to adopt and extend.</w:t>
      </w:r>
    </w:p>
    <w:p>
      <w:pPr>
        <w:pStyle w:val="BodyText"/>
        <w:jc w:val="both"/>
        <w:keepNext w:val="0"/>
        <w:keepLines w:val="0"/>
        <w:widowControl w:val="1"/>
      </w:pPr>
      <w:r>
        <w:t xml:space="preserve">As a formative feasibility test of one minimal task, we summarize a study of follow-up-instruction extraction, in which a hybrid neural-symbolic pipeline, learned extraction of actions and time expressions with deterministic temporal normalization, was evaluated on a controlled 2000-note benchmark against generative baselines (Table 4).</w:t>
      </w:r>
      <w:r>
        <w:rPr>
          <w:vertAlign w:val="superscript"/>
        </w:rPr>
        <w:t xml:space="preserve">[35]</w:t>
      </w:r>
      <w:r>
        <w:t xml:space="preserve"> </w:t>
      </w:r>
      <w:r>
        <w:t xml:space="preserve">The generative models recognized actions accurately but performed poorly end to end, because argument linking and temporal reasoning remained implicit in generation. We state the standing of this result explicitly: it establishes the technical feasibility of one minimal Generation-3 task and does not, by itself, provide evidence for the three-layer framework. The framework’s value rests on the constructs it defines and on their evaluation across tasks.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Follow-up extraction on a controlled 2000-note benchmark; generative baselines are GPT-4o-mini and LLaMA-3.[35] Results are a formative feasibility demonstration of one minimal task.</w:t>
      </w:r>
    </w:p>
    <w:bookmarkEnd w:id="34"/>
    <w:bookmarkStart w:id="35" w:name="research-agenda"/>
    <w:p>
      <w:pPr>
        <w:pStyle w:val="Heading2"/>
        <w:keepNext/>
        <w:keepLines/>
        <w:widowControl w:val="1"/>
      </w:pPr>
      <w:r>
        <w:t xml:space="preserve">9. Research Agenda</w:t>
      </w:r>
    </w:p>
    <w:p>
      <w:pPr>
        <w:pStyle w:val="FirstParagraph"/>
        <w:jc w:val="both"/>
        <w:keepNext w:val="0"/>
        <w:keepLines w:val="0"/>
        <w:widowControl w:val="1"/>
      </w:pPr>
      <w:r>
        <w:t xml:space="preserve">The framework defines a program in four domains, so that a study can locate its contribution precisely.</w:t>
      </w:r>
    </w:p>
    <w:p>
      <w:pPr>
        <w:pStyle w:val="BodyText"/>
        <w:jc w:val="both"/>
        <w:keepNext w:val="0"/>
        <w:keepLines w:val="0"/>
        <w:widowControl w:val="1"/>
      </w:pPr>
      <w:r>
        <w:rPr>
          <w:b/>
          <w:bCs/>
        </w:rPr>
        <w:t xml:space="preserve">Representation.</w:t>
      </w:r>
      <w:r>
        <w:t xml:space="preserve"> </w:t>
      </w:r>
      <w:r>
        <w:t xml:space="preserve">A consensus ACR ontology: an extensible taxonomy of clinical actions, attribute semantics, temporal and conditional constraint types, provenance, and reconciliation when communications revise or revoke a plan.</w:t>
      </w:r>
    </w:p>
    <w:p>
      <w:pPr>
        <w:pStyle w:val="BodyText"/>
        <w:jc w:val="both"/>
        <w:keepNext w:val="0"/>
        <w:keepLines w:val="0"/>
        <w:widowControl w:val="1"/>
      </w:pPr>
      <w:r>
        <w:rPr>
          <w:b/>
          <w:bCs/>
        </w:rPr>
        <w:t xml:space="preserve">Inference and reliability.</w:t>
      </w:r>
      <w:r>
        <w:t xml:space="preserve"> </w:t>
      </w:r>
      <w:r>
        <w:t xml:space="preserve">ACR recovery from multilingual and multimodal communication; relation construction and temporal reasoning; cross-message reconciliation; calibrated uncertainty and abstention; and distinguishing patient from clinician intent.</w:t>
      </w:r>
    </w:p>
    <w:p>
      <w:pPr>
        <w:pStyle w:val="BodyText"/>
        <w:jc w:val="both"/>
        <w:keepNext w:val="0"/>
        <w:keepLines w:val="0"/>
        <w:widowControl w:val="1"/>
      </w:pPr>
      <w:r>
        <w:rPr>
          <w:b/>
          <w:bCs/>
        </w:rPr>
        <w:t xml:space="preserve">Evaluation.</w:t>
      </w:r>
      <w:r>
        <w:t xml:space="preserve"> </w:t>
      </w:r>
      <w:r>
        <w:t xml:space="preserve">Authentic-data benchmarks beyond synthetic corpora; the executable-correctness framework of Section 8 adopted across tasks; and cross-institution and cross-language generalization.</w:t>
      </w:r>
    </w:p>
    <w:p>
      <w:pPr>
        <w:pStyle w:val="BodyText"/>
        <w:jc w:val="both"/>
        <w:keepNext w:val="0"/>
        <w:keepLines w:val="0"/>
        <w:widowControl w:val="1"/>
      </w:pP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provenance, abstention, and oversight invariants of Section 7. We also offer testable predictions whose failure would count against the framework: machine-actionable use of FHIR workflow resources will grow relative to free-text follow-up; evaluation will shift toward executable-correctness measures; reliable systems will expose source-linked, auditable records with selective human review rather than end-to-end generation; and ambient documentation will extend from producing notes to producing tasks and orders.</w:t>
      </w:r>
      <w:r>
        <w:rPr>
          <w:vertAlign w:val="superscript"/>
        </w:rPr>
        <w:t xml:space="preserve">[24,36]</w:t>
      </w:r>
    </w:p>
    <w:bookmarkEnd w:id="35"/>
    <w:bookmarkStart w:id="36" w:name="conclusion"/>
    <w:p>
      <w:pPr>
        <w:pStyle w:val="Heading2"/>
        <w:keepNext/>
        <w:keepLines/>
        <w:widowControl w:val="1"/>
      </w:pPr>
      <w:r>
        <w:t xml:space="preserve">10. Conclusion</w:t>
      </w:r>
    </w:p>
    <w:p>
      <w:pPr>
        <w:pStyle w:val="FirstParagraph"/>
        <w:jc w:val="both"/>
        <w:keepNext w:val="0"/>
        <w:keepLines w:val="0"/>
        <w:widowControl w:val="1"/>
      </w:pPr>
      <w:r>
        <w:t xml:space="preserve">Organized by the unit of information it makes computable, healthcare IT progresses from the record to the clinical fact and, we propose, to patient-specific clinical intent, with the layers accumulating rather than replacing one another. The problem that characterizes the proposed layer is not generating clinical text but recovering, from ordinary clinical communication, source-grounded and verifiable representations of intended action, which we formalize as the Actionable Clinical Record. The layer does not replace existing workflow infrastructure; it supplies the intent that allows natural communication to reach that infrastructure, under reliability formulated as an explicit system property. A formative feasibility instance shows that a minimal task is achievable, and convergent developments suggest the layer is emerging along several independent lines. We offer the framework, the ACR construct, the maturity ladder, the evaluation framework, and the research agenda as constructs that subsequent work can operationalize, evaluate, extend, or falsify.</w:t>
      </w:r>
    </w:p>
    <w:bookmarkEnd w:id="36"/>
    <w:bookmarkStart w:id="37"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summarized in Table 4 derive from a companion study;</w:t>
      </w:r>
      <w:r>
        <w:rPr>
          <w:vertAlign w:val="superscript"/>
        </w:rPr>
        <w:t xml:space="preserve">[35]</w:t>
      </w:r>
      <w:r>
        <w:t xml:space="preserve"> </w:t>
      </w:r>
      <w:r>
        <w:t xml:space="preserve">details of that benchmark are reported therein.</w:t>
      </w:r>
    </w:p>
    <w:bookmarkEnd w:id="37"/>
    <w:bookmarkStart w:id="38"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8"/>
    <w:bookmarkStart w:id="39"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9"/>
    <w:bookmarkStart w:id="40"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 Manuscript in preparation; 2026.</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4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2026-08-08T06:13:59Z</dcterms:created>
  <dcterms:modified xsi:type="dcterms:W3CDTF">2026-08-08T06:13:59Z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