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 PhD</w:t>
      </w:r>
      <w:r>
        <w:rPr>
          <w:rFonts w:ascii="Georgia" w:hAnsi="Georgia"/>
          <w:b w:val="0"/>
          <w:i/>
          <w:sz w:val="20"/>
          <w:vertAlign w:val="superscript"/>
        </w:rPr>
        <w:t xml:space="preserve">1</w:t>
      </w:r>
      <w:r>
        <w:rPr>
          <w:rFonts w:ascii="Georgia" w:hAnsi="Georgia"/>
          <w:b w:val="0"/>
          <w:i/>
          <w:sz w:val="20"/>
        </w:rPr>
        <w:t xml:space="preserve">, Yehudit Aperstein, PhD</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 Main text: 1979 words.</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FHIR</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It is complementary to the data–information–knowledge hierarchy</w:t>
      </w:r>
      <w:r>
        <w:rPr>
          <w:vertAlign w:val="superscript"/>
        </w:rPr>
        <w:t xml:space="preserve">[10]</w:t>
      </w:r>
      <w:r>
        <w:t xml:space="preserve"> </w:t>
      </w:r>
      <w:r>
        <w:t xml:space="preserve">and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EiT8ui/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[23]</w:t>
      </w:r>
      <w:r>
        <w:t xml:space="preserve"> </w:t>
      </w:r>
      <w:r>
        <w:t xml:space="preserve">computer-interpretable guidelines and care-pathway models encode executable protocols;</w:t>
      </w:r>
      <w:r>
        <w:rPr>
          <w:vertAlign w:val="superscript"/>
        </w:rPr>
        <w:t xml:space="preserve">[24-26]</w:t>
      </w:r>
      <w:r>
        <w:t xml:space="preserve"> </w:t>
      </w:r>
      <w:r>
        <w:t xml:space="preserve">and process mining reconstructs pathways from event logs.</w:t>
      </w:r>
      <w:r>
        <w:rPr>
          <w:vertAlign w:val="superscript"/>
        </w:rPr>
        <w:t xml:space="preserve">[27,28]</w:t>
      </w:r>
      <w:r>
        <w:t xml:space="preserve"> </w:t>
      </w:r>
      <w:r>
        <w:t xml:space="preserve">These paradigms are complementary and often provide infrastructure to operationalize the proposed layer’s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workflow paradigms represent and operationalize intended process once it has been structured, but they do not themselves specify recovery from unstructured communication; the third layer concerns that recovery and its conversion into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intended action is represented by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explicitly inferred; and</w:t>
      </w:r>
      <w:r>
        <w:t xml:space="preserve"> </w:t>
      </w:r>
      <w:r>
        <w:rPr>
          <w:i/>
          <w:iCs/>
        </w:rPr>
        <w:t xml:space="preserve">confidence</w:t>
      </w:r>
      <w:r>
        <w:t xml:space="preserve"> </w:t>
      </w:r>
      <w:r>
        <w:t xml:space="preserve">is a per-attribute map recording calibrated recovery-system uncertainty for inferred attributes.</w:t>
      </w:r>
    </w:p>
    <w:p>
      <w:pPr>
        <w:pStyle w:val="BodyText"/>
        <w:jc w:val="both"/>
        <w:keepNext w:val="0"/>
        <w:keepLines w:val="0"/>
        <w:widowControl w:val="1"/>
      </w:pPr>
      <w:r>
        <w:t xml:space="preserve">Each attribute has a fixed semantics (Figure 2):</w:t>
      </w:r>
      <w:r>
        <w:t xml:space="preserve"> </w:t>
      </w:r>
      <w:r>
        <w:rPr>
          <w:i/>
          <w:iCs/>
        </w:rPr>
        <w:t xml:space="preserve">action</w:t>
      </w:r>
      <w:r>
        <w:t xml:space="preserve">, the requested operation;</w:t>
      </w:r>
      <w:r>
        <w:t xml:space="preserve"> </w:t>
      </w:r>
      <w:r>
        <w:rPr>
          <w:i/>
          <w:iCs/>
        </w:rPr>
        <w:t xml:space="preserve">target</w:t>
      </w:r>
      <w:r>
        <w:t xml:space="preserve">, the object acted upon, linked to a layer-2 coded concept where possible;</w:t>
      </w:r>
      <w:r>
        <w:t xml:space="preserve"> </w:t>
      </w:r>
      <w:r>
        <w:rPr>
          <w:i/>
          <w:iCs/>
        </w:rPr>
        <w:t xml:space="preserve">actor</w:t>
      </w:r>
      <w:r>
        <w:t xml:space="preserve">, the responsible performer rather than the speaker;</w:t>
      </w:r>
      <w:r>
        <w:t xml:space="preserve"> </w:t>
      </w:r>
      <w:r>
        <w:rPr>
          <w:i/>
          <w:iCs/>
        </w:rPr>
        <w:t xml:space="preserve">temporal constraint</w:t>
      </w:r>
      <w:r>
        <w:t xml:space="preserve">, a normalized time (absolute, relative, event-anchored, or recurring) rather than a date alone;</w:t>
      </w:r>
      <w:r>
        <w:t xml:space="preserve"> </w:t>
      </w:r>
      <w:r>
        <w:rPr>
          <w:i/>
          <w:iCs/>
        </w:rPr>
        <w:t xml:space="preserve">condition</w:t>
      </w:r>
      <w:r>
        <w:t xml:space="preserve">, a proposition governing applicability;</w:t>
      </w:r>
      <w:r>
        <w:t xml:space="preserve"> </w:t>
      </w:r>
      <w:r>
        <w:rPr>
          <w:i/>
          <w:iCs/>
        </w:rPr>
        <w:t xml:space="preserve">dependency</w:t>
      </w:r>
      <w:r>
        <w:t xml:space="preserve">, ordering and prerequisites;</w:t>
      </w:r>
      <w:r>
        <w:t xml:space="preserve"> </w:t>
      </w:r>
      <w:r>
        <w:rPr>
          <w:i/>
          <w:iCs/>
        </w:rPr>
        <w:t xml:space="preserve">status</w:t>
      </w:r>
      <w:r>
        <w:t xml:space="preserve">, the operational lifecycle state; and</w:t>
      </w:r>
      <w:r>
        <w:t xml:space="preserve"> </w:t>
      </w:r>
      <w:r>
        <w:rPr>
          <w:i/>
          <w:iCs/>
        </w:rPr>
        <w:t xml:space="preserve">provenance</w:t>
      </w:r>
      <w:r>
        <w:t xml:space="preserve">, the source span, speaker, and encounter.</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EiT8ui/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is partial; adding “two weeks” and a responsible actor makes it actionable; resolving a due date and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its output is a set of ACRs that maps onto infrastructure the field already has.</w:t>
      </w:r>
      <w:r>
        <w:rPr>
          <w:vertAlign w:val="superscript"/>
        </w:rPr>
        <w:t xml:space="preserve">[17,23]</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and</w:t>
      </w:r>
      <w:r>
        <w:t xml:space="preserve"> </w:t>
      </w:r>
      <w:r>
        <w:rPr>
          <w:i/>
          <w:iCs/>
        </w:rPr>
        <w:t xml:space="preserve">status</w:t>
      </w:r>
      <w:r>
        <w:t xml:space="preserve"> </w:t>
      </w:r>
      <w:r>
        <w:t xml:space="preserve">into resource-appropriate relationship and lifecycle fields (</w:t>
      </w:r>
      <w:r>
        <w:rPr>
          <w:i/>
          <w:iCs/>
        </w:rPr>
        <w:t xml:space="preserve">basedOn</w:t>
      </w:r>
      <w:r>
        <w:t xml:space="preserve"> </w:t>
      </w:r>
      <w:r>
        <w:t xml:space="preserve">or</w:t>
      </w:r>
      <w:r>
        <w:t xml:space="preserve"> </w:t>
      </w:r>
      <w:r>
        <w:rPr>
          <w:i/>
          <w:iCs/>
        </w:rPr>
        <w:t xml:space="preserve">partOf</w:t>
      </w:r>
      <w:r>
        <w:t xml:space="preserve"> </w:t>
      </w:r>
      <w:r>
        <w:t xml:space="preserve">where they apply, orchestration constructs for prerequisites) whose FHIR semantics differ from the ACR’s and need profile-specific mapping.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EiT8ui/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clinical-intent layer containing ACR representations, which maps to existing infrastructure such as FHIR resources, schedulers, and referral and results systems on the right.</w:t>
      </w:r>
    </w:p>
    <w:p>
      <w:pPr>
        <w:pStyle w:val="BodyText"/>
        <w:jc w:val="both"/>
        <w:keepNext w:val="0"/>
        <w:keepLines w:val="0"/>
        <w:widowControl w:val="1"/>
      </w:pPr>
      <w:r>
        <w:t xml:space="preserve">Follow-up is a well-documented case, one of a broader class of communication-derived process objects sharing the ACR representation: conditional escalation, medication transitions, handoffs, referrals, and pending-result responsibility. Recent shared tasks extract structured orders directly from clinical conversations,</w:t>
      </w:r>
      <w:r>
        <w:rPr>
          <w:vertAlign w:val="superscript"/>
        </w:rPr>
        <w:t xml:space="preserve">[29]</w:t>
      </w:r>
      <w:r>
        <w:t xml:space="preserve"> </w:t>
      </w:r>
      <w:r>
        <w:t xml:space="preserve">while ambient documentation shows these conversations are already captured.</w:t>
      </w:r>
      <w:r>
        <w:rPr>
          <w:vertAlign w:val="superscript"/>
        </w:rPr>
        <w:t xml:space="preserve">[30]</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[29]</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[24,25]</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calibrated deferral are properties of the output contract, not model capability. Large language models show clinical information-extraction and medical-reasoning capability</w:t>
      </w:r>
      <w:r>
        <w:rPr>
          <w:vertAlign w:val="superscript"/>
        </w:rPr>
        <w:t xml:space="preserve">[35,39]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[45-48]</w:t>
      </w:r>
      <w:r>
        <w:t xml:space="preserve"> </w:t>
      </w:r>
      <w:r>
        <w:t xml:space="preserve">and selective prediction routes uncertain cases to a clinician. The requirements are invariants: every acted-upon record traces to a source span, speaker, and encounter;</w:t>
      </w:r>
      <w:r>
        <w:rPr>
          <w:vertAlign w:val="superscript"/>
        </w:rPr>
        <w:t xml:space="preserve">[49]</w:t>
      </w:r>
      <w:r>
        <w:t xml:space="preserve"> </w:t>
      </w:r>
      <w:r>
        <w:t xml:space="preserve">deterministic semantics are computed, not generated; the system may abstain; higher-consequence actions receive tighter human review;</w:t>
      </w:r>
      <w:r>
        <w:rPr>
          <w:vertAlign w:val="superscript"/>
        </w:rPr>
        <w:t xml:space="preserve">[50]</w:t>
      </w:r>
      <w:r>
        <w:t xml:space="preserve"> </w:t>
      </w:r>
      <w:r>
        <w:t xml:space="preserve">an immutable trace links communication to action for audit; 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propose an evaluation framework for ACR recovery with measures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endpoint shaped by workflow rather than recovery correctness, is reported separately. This framework, not any single score, is the intended contribution.</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[51]</w:t>
      </w:r>
      <w:r>
        <w:t xml:space="preserve"> </w:t>
      </w:r>
      <w:r>
        <w:t xml:space="preserve">On the action–time pairing the executable representation requires, the hybrid pipeline substantially outperforms general-purpose language models, which recognize actions but bind them to times unreliably. This is a controlled feasibility demonstration for one narrow subproblem, not evidence for the framework, whose value rests on its constructs.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is the central empirical risk;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[30,52,53]</w:t>
      </w:r>
      <w:r>
        <w:t xml:space="preserve"> </w:t>
      </w:r>
      <w:r>
        <w:t xml:space="preserve">More decisively, two independent claims are falsifiable. The ACR representation is redundant if direct mapping into existing workflow standards, with generic recovery metadata, captures the required action, actor, temporal, conditional, dependency, provenance, and uncertainty semantics without ACR-specific distinctions. The evaluation framework is redundant if standard extraction metrics discriminate operationally unsafe outputs as well as the executable-correctness measures across task classes.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[51]</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Shen Y, Yu J, Zhou J,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et al.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et al.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et al.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et al.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et al.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et al.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DesRoches CM, Kralovec P,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et al.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et al.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Masanz JJ, Ogren PV,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28. </w:t>
      </w:r>
      <w:r>
        <w:t xml:space="preserve">Rojas E, Munoz-Gama J, Sepúlveda M, et al.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29. </w:t>
      </w:r>
      <w:r>
        <w:t xml:space="preserve">Corbeil JP, Ben Abacha A, Tremblay J,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31. </w:t>
      </w:r>
      <w:r>
        <w:t xml:space="preserve">Soysal E, Wang J, Jiang M,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et al.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et al.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et al.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et al.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et al.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King N, McKinney SM,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Lee N, Frieske R,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62nd Annu Meet Assoc Comput Linguist (ACL)</w:t>
      </w:r>
      <w:r>
        <w:t xml:space="preserve"> </w:t>
      </w:r>
      <w:r>
        <w:t xml:space="preserve">2024:1204–1228. doi:10.18653/v1/2024.acl-long.66.</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et al.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53. </w:t>
      </w:r>
      <w:r>
        <w:t xml:space="preserve">Artsi Y, Sorin V, Glicksberg BS, et al.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2026-08-09T12:20:43Z</dcterms:created>
  <dcterms:modified xsi:type="dcterms:W3CDTF">2026-08-09T12:20:43Z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