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maturity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 which change rapidly.</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only about one-third of specialist referrals reach a completed visit,</w:t>
      </w:r>
      <w:r>
        <w:rPr>
          <w:vertAlign w:val="superscript"/>
        </w:rPr>
        <w:t xml:space="preserve">[4]</w:t>
      </w:r>
      <w:r>
        <w:t xml:space="preserve"> </w:t>
      </w:r>
      <w:r>
        <w:t xml:space="preserve">and such loop-closure failures, rooted in ambiguous responsibility and care-coordination breakdowns, drive diagnostic error and avoidable harm.</w:t>
      </w:r>
      <w:r>
        <w:rPr>
          <w:vertAlign w:val="superscript"/>
        </w:rPr>
        <w:t xml:space="preserve">[5,6,7,8]</w:t>
      </w:r>
    </w:p>
    <w:p>
      <w:pPr>
        <w:pStyle w:val="BodyText"/>
        <w:jc w:val="both"/>
        <w:keepNext w:val="0"/>
        <w:keepLines w:val="0"/>
        <w:widowControl w:val="1"/>
      </w:pPr>
      <w:r>
        <w:t xml:space="preserve">This Perspective offers a framework and a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a candidate that fails these markers is an incremental capability within an existing layer, not a new one.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The lens is complementary to the data–information–knowledge hierarchy</w:t>
      </w:r>
      <w:r>
        <w:rPr>
          <w:vertAlign w:val="superscript"/>
        </w:rPr>
        <w:t xml:space="preserve">[9]</w:t>
      </w:r>
      <w:r>
        <w:t xml:space="preserve"> </w:t>
      </w:r>
      <w:r>
        <w:t xml:space="preserve">and to digital-maturity models such as EMRAM,</w:t>
      </w:r>
      <w:r>
        <w:rPr>
          <w:vertAlign w:val="superscript"/>
        </w:rPr>
        <w:t xml:space="preserve">[10,11]</w:t>
      </w:r>
      <w:r>
        <w:t xml:space="preserve"> </w:t>
      </w:r>
      <w:r>
        <w:t xml:space="preserve">which measure how much capability an institution has adopted;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uIKqBX/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subsumes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[12,13]</w:t>
      </w:r>
      <w:r>
        <w:t xml:space="preserve"> </w:t>
      </w:r>
      <w:r>
        <w:t xml:space="preserve">extending the older problem-oriented-record ideal.</w:t>
      </w:r>
      <w:r>
        <w:rPr>
          <w:vertAlign w:val="superscript"/>
        </w:rPr>
        <w:t xml:space="preserve">[14]</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[15]</w:t>
      </w:r>
      <w:r>
        <w:t xml:space="preserve"> </w:t>
      </w:r>
      <w:r>
        <w:t xml:space="preserve">computerized order entry, data warehouses, and interoperability standards</w:t>
      </w:r>
      <w:r>
        <w:rPr>
          <w:vertAlign w:val="superscript"/>
        </w:rPr>
        <w:t xml:space="preserve">[16,17]</w:t>
      </w:r>
      <w:r>
        <w:t xml:space="preserve"> </w:t>
      </w:r>
      <w:r>
        <w:t xml:space="preserve">mattered as much as language processing, one route by which narrative facts entered the semantic layer (MedLEE, cTAKES).</w:t>
      </w:r>
      <w:r>
        <w:rPr>
          <w:vertAlign w:val="superscript"/>
        </w:rPr>
        <w:t xml:space="preserve">[18,19]</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[20]</w:t>
      </w:r>
      <w:r>
        <w:t xml:space="preserve"> </w:t>
      </w:r>
      <w:r>
        <w:t xml:space="preserve">A tension remained: encoding meaning into structured fields captures facts, while much of the reasoning, and nearly all of the intended action, stays in narrative.</w:t>
      </w:r>
      <w:r>
        <w:rPr>
          <w:vertAlign w:val="superscript"/>
        </w:rPr>
        <w:t xml:space="preserve">[21]</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not the</w:t>
      </w:r>
      <w:r>
        <w:t xml:space="preserve"> </w:t>
      </w:r>
      <w:r>
        <w:rPr>
          <w:i/>
          <w:iCs/>
        </w:rPr>
        <w:t xml:space="preserve">intended actions</w:t>
      </w:r>
      <w:r>
        <w:t xml:space="preserve"> </w:t>
      </w:r>
      <w:r>
        <w:t xml:space="preserve">that constitute care. Healthcare IT can represent process, but only once a person or system has structured it: FHIR represents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PlanDefinition</w:t>
      </w:r>
      <w:r>
        <w:t xml:space="preserve">;</w:t>
      </w:r>
      <w:r>
        <w:rPr>
          <w:vertAlign w:val="superscript"/>
        </w:rPr>
        <w:t xml:space="preserve">[16]</w:t>
      </w:r>
      <w:r>
        <w:t xml:space="preserve"> </w:t>
      </w:r>
      <w:r>
        <w:t xml:space="preserve">computer-interpretable guidelines and care-pathway models encode executable protocols;</w:t>
      </w:r>
      <w:r>
        <w:rPr>
          <w:vertAlign w:val="superscript"/>
        </w:rPr>
        <w:t xml:space="preserve">[22,23,24]</w:t>
      </w:r>
      <w:r>
        <w:t xml:space="preserve"> </w:t>
      </w:r>
      <w:r>
        <w:t xml:space="preserve">and process mining reconstructs pathways from event logs.</w:t>
      </w:r>
      <w:r>
        <w:rPr>
          <w:vertAlign w:val="superscript"/>
        </w:rPr>
        <w:t xml:space="preserve">[25,26]</w:t>
      </w:r>
      <w:r>
        <w:t xml:space="preserve"> </w:t>
      </w:r>
      <w:r>
        <w:t xml:space="preserve">These paradigms are complementary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expressed primarily in communication. Existing paradigms represent and operationalize intended process once it has been structured, but none recovers it from unstructured communication; that recovery, and its conversion into executable form,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proposed third layer targets intended process, which the prescribed and observed paradigms do not recover from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expresses</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and the remaining attributes are populated when the communication supports them.</w:t>
      </w:r>
    </w:p>
    <w:p>
      <w:pPr>
        <w:pStyle w:val="BodyText"/>
        <w:jc w:val="both"/>
        <w:keepNext w:val="0"/>
        <w:keepLines w:val="0"/>
        <w:widowControl w:val="1"/>
      </w:pPr>
      <w:r>
        <w:t xml:space="preserve">The attributes are defined semantically (Figure 2). The</w:t>
      </w:r>
      <w:r>
        <w:t xml:space="preserve"> </w:t>
      </w:r>
      <w:r>
        <w:rPr>
          <w:i/>
          <w:iCs/>
        </w:rPr>
        <w:t xml:space="preserve">temporal constraint</w:t>
      </w:r>
      <w:r>
        <w:t xml:space="preserve"> </w:t>
      </w:r>
      <w:r>
        <w:t xml:space="preserve">is a normalized time semantics rather than a date alone, admitting absolute (“within six months”), relative (“before the next visit”), event-anchored (“after finishing antibiotics”), and recurring forms;</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w:t>
      </w:r>
      <w:r>
        <w:t xml:space="preserve">is a calibrated per-attribute uncertainty routing uncertain records to review.</w:t>
      </w:r>
      <w:r>
        <w:t xml:space="preserve"> </w:t>
      </w:r>
      <w:r>
        <w:rPr>
          <w:i/>
          <w:iCs/>
        </w:rPr>
        <w:t xml:space="preserve">Target</w:t>
      </w:r>
      <w:r>
        <w:t xml:space="preserve"> </w:t>
      </w:r>
      <w:r>
        <w:t xml:space="preserve">links to a layer-2 coded concept where possible, and</w:t>
      </w:r>
      <w:r>
        <w:t xml:space="preserve"> </w:t>
      </w:r>
      <w:r>
        <w:rPr>
          <w:i/>
          <w:iCs/>
        </w:rPr>
        <w:t xml:space="preserve">dependency</w:t>
      </w:r>
      <w:r>
        <w:t xml:space="preserve"> </w:t>
      </w:r>
      <w:r>
        <w:t xml:space="preserve">encodes ordering.</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uIKqBX/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is a capability ladder whose named rungs prevent over- and under-claiming. Recognizing that “complete blood count” appears in a note belongs to layer 2; extracting “repeat complete blood count” is a partial step; linking it to “two weeks” and a responsible actor produces an ACR; mapping it to a computed due date and a workflow object makes it executable; and detecting completion or escalation closes the loop. We label the rungs</w:t>
      </w:r>
      <w:r>
        <w:t xml:space="preserve"> </w:t>
      </w:r>
      <w:r>
        <w:rPr>
          <w:i/>
          <w:iCs/>
        </w:rPr>
        <w:t xml:space="preserve">mentioned, interpreted, actionable, executable, monitored,</w:t>
      </w:r>
      <w:r>
        <w:t xml:space="preserve"> </w:t>
      </w:r>
      <w:r>
        <w:t xml:space="preserve">and</w:t>
      </w:r>
      <w:r>
        <w:t xml:space="preserve"> </w:t>
      </w:r>
      <w:r>
        <w:rPr>
          <w:i/>
          <w:iCs/>
        </w:rPr>
        <w:t xml:space="preserve">closed</w:t>
      </w:r>
      <w:r>
        <w:t xml:space="preserve">: the first four grade representational</w:t>
      </w:r>
      <w:r>
        <w:t xml:space="preserve"> </w:t>
      </w:r>
      <w:r>
        <w:rPr>
          <w:i/>
          <w:iCs/>
        </w:rPr>
        <w:t xml:space="preserve">readiness</w:t>
      </w:r>
      <w:r>
        <w:t xml:space="preserve"> </w:t>
      </w:r>
      <w:r>
        <w:t xml:space="preserve">(actionable versus executable, i.e. carrying enough resolved information to act on automatically); the last two, and the ACR’s</w:t>
      </w:r>
      <w:r>
        <w:t xml:space="preserve"> </w:t>
      </w:r>
      <w:r>
        <w:rPr>
          <w:i/>
          <w:iCs/>
        </w:rPr>
        <w:t xml:space="preserve">status</w:t>
      </w:r>
      <w:r>
        <w:t xml:space="preserve"> </w:t>
      </w:r>
      <w:r>
        <w:t xml:space="preserve">attribute, track the workflow lifecycle after an action enters operation.</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messages, calls, transcripts); its output is a set of ACRs that maps onto infrastructure the field already has.</w:t>
      </w:r>
      <w:r>
        <w:rPr>
          <w:vertAlign w:val="superscript"/>
        </w:rPr>
        <w:t xml:space="preserve">[16]</w:t>
      </w:r>
      <w:r>
        <w:t xml:space="preserve"> </w:t>
      </w:r>
      <w:r>
        <w:t xml:space="preserve">The mapping situates the ACR</w:t>
      </w:r>
      <w:r>
        <w:t xml:space="preserve"> </w:t>
      </w:r>
      <w:r>
        <w:rPr>
          <w:i/>
          <w:iCs/>
        </w:rPr>
        <w:t xml:space="preserve">upstream</w:t>
      </w:r>
      <w:r>
        <w:t xml:space="preserve"> </w:t>
      </w:r>
      <w:r>
        <w:t xml:space="preserve">of these resources rather than as a competitor:</w:t>
      </w:r>
      <w:r>
        <w:t xml:space="preserve"> </w:t>
      </w:r>
      <w:r>
        <w:rPr>
          <w:i/>
          <w:iCs/>
        </w:rPr>
        <w:t xml:space="preserve">action</w:t>
      </w:r>
      <w:r>
        <w:t xml:space="preserve"> </w:t>
      </w:r>
      <w:r>
        <w:t xml:space="preserve">and</w:t>
      </w:r>
      <w:r>
        <w:t xml:space="preserve"> </w:t>
      </w:r>
      <w:r>
        <w:rPr>
          <w:i/>
          <w:iCs/>
        </w:rPr>
        <w:t xml:space="preserve">target</w:t>
      </w:r>
      <w:r>
        <w:t xml:space="preserve"> </w:t>
      </w:r>
      <w:r>
        <w:t xml:space="preserve">populate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the occurrence timing,</w:t>
      </w:r>
      <w:r>
        <w:t xml:space="preserve"> </w:t>
      </w:r>
      <w:r>
        <w:rPr>
          <w:i/>
          <w:iCs/>
        </w:rPr>
        <w:t xml:space="preserve">condition</w:t>
      </w:r>
      <w:r>
        <w:t xml:space="preserve"> </w:t>
      </w:r>
      <w:r>
        <w:t xml:space="preserve">a trigger,</w:t>
      </w:r>
      <w:r>
        <w:t xml:space="preserve"> </w:t>
      </w:r>
      <w:r>
        <w:rPr>
          <w:i/>
          <w:iCs/>
        </w:rPr>
        <w:t xml:space="preserve">actor</w:t>
      </w:r>
      <w:r>
        <w:t xml:space="preserve"> </w:t>
      </w:r>
      <w:r>
        <w:t xml:space="preserve">the owner,</w:t>
      </w:r>
      <w:r>
        <w:t xml:space="preserve"> </w:t>
      </w:r>
      <w:r>
        <w:rPr>
          <w:i/>
          <w:iCs/>
        </w:rPr>
        <w:t xml:space="preserve">dependency</w:t>
      </w:r>
      <w:r>
        <w:t xml:space="preserve"> </w:t>
      </w:r>
      <w:r>
        <w:t xml:space="preserve">the</w:t>
      </w:r>
      <w:r>
        <w:t xml:space="preserve"> </w:t>
      </w:r>
      <w:r>
        <w:rPr>
          <w:i/>
          <w:iCs/>
        </w:rPr>
        <w:t xml:space="preserve">basedOn</w:t>
      </w:r>
      <w:r>
        <w:t xml:space="preserve">/</w:t>
      </w:r>
      <w:r>
        <w:rPr>
          <w:i/>
          <w:iCs/>
        </w:rPr>
        <w:t xml:space="preserve">partOf</w:t>
      </w:r>
      <w:r>
        <w:t xml:space="preserve"> </w:t>
      </w:r>
      <w:r>
        <w:t xml:space="preserve">links, and</w:t>
      </w:r>
      <w:r>
        <w:t xml:space="preserve"> </w:t>
      </w:r>
      <w:r>
        <w:rPr>
          <w:i/>
          <w:iCs/>
        </w:rPr>
        <w:t xml:space="preserve">status</w:t>
      </w:r>
      <w:r>
        <w:t xml:space="preserve"> </w:t>
      </w:r>
      <w:r>
        <w:t xml:space="preserve">the lifecycle, while</w:t>
      </w:r>
      <w:r>
        <w:t xml:space="preserve"> </w:t>
      </w:r>
      <w:r>
        <w:rPr>
          <w:i/>
          <w:iCs/>
        </w:rPr>
        <w:t xml:space="preserve">provenance</w:t>
      </w:r>
      <w:r>
        <w:t xml:space="preserve"> </w:t>
      </w:r>
      <w:r>
        <w:t xml:space="preserve">and</w:t>
      </w:r>
      <w:r>
        <w:t xml:space="preserve"> </w:t>
      </w:r>
      <w:r>
        <w:rPr>
          <w:i/>
          <w:iCs/>
        </w:rPr>
        <w:t xml:space="preserve">confidence</w:t>
      </w:r>
      <w:r>
        <w:t xml:space="preserve"> </w:t>
      </w:r>
      <w:r>
        <w:t xml:space="preserve">are properties of the recovery process rather than native fields of the target resource. Existing systems execute such instructions once structured; the third layer recovers them from natural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uIKqBX/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(“return immediately if fever develops”), medication transitions, handoff commitments, referrals, pending-result responsibility, and patient self-management. Ambient documentation and recent shared tasks extract structured orders directly from clinical conversations,</w:t>
      </w:r>
      <w:r>
        <w:rPr>
          <w:vertAlign w:val="superscript"/>
        </w:rPr>
        <w:t xml:space="preserve">[27,28]</w:t>
      </w:r>
      <w:r>
        <w:t xml:space="preserve"> </w:t>
      </w:r>
      <w:r>
        <w:t xml:space="preserve">indicating these channels carry clinically consequential actionable content.</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w:t>
      </w:r>
      <w:r>
        <w:rPr>
          <w:vertAlign w:val="superscript"/>
        </w:rPr>
        <w:t xml:space="preserve">[18,19,29,30,31]</w:t>
      </w:r>
      <w:r>
        <w:t xml:space="preserve"> </w:t>
      </w:r>
      <w:r>
        <w:t xml:space="preserve">the distinction is not facts versus actions but operational workflow semantics and execution reliability, the requirement that a recovered action be source-grounded, temporally normalized, and reliable enough to act on rather than only index. Improving extraction is not, by itself, a layer transition. Computer-interpretable guidelines encode generic, population-level protocols;</w:t>
      </w:r>
      <w:r>
        <w:rPr>
          <w:vertAlign w:val="superscript"/>
        </w:rPr>
        <w:t xml:space="preserve">[22,23]</w:t>
      </w:r>
      <w:r>
        <w:t xml:space="preserve"> </w:t>
      </w:r>
      <w:r>
        <w:t xml:space="preserve">the third layer recovers patient-specific records from a particular encounter, capturing what a clinician instructed for this patient rather than what should generally happen.</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requirements the third layer imposes: auditability, verifiable temporal correctness, and a calibrated signal of when to defer are properties of the output contract, not of model capability. General-purpose models interpret clinical language well but are unreliable where the layer is most demanding, in binding an action to its time and normalizing it into an executable schedule without omission or fabrication.</w:t>
      </w:r>
      <w:r>
        <w:rPr>
          <w:vertAlign w:val="superscript"/>
        </w:rPr>
        <w:t xml:space="preserve">[32,33]</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[34]</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[35]</w:t>
      </w:r>
      <w:r>
        <w:t xml:space="preserve"> </w:t>
      </w:r>
      <w:r>
        <w:t xml:space="preserve">while deterministic reasoning resolves times and due dates</w:t>
      </w:r>
      <w:r>
        <w:rPr>
          <w:vertAlign w:val="superscript"/>
        </w:rPr>
        <w:t xml:space="preserve">[36,37,38]</w:t>
      </w:r>
      <w:r>
        <w:t xml:space="preserve"> </w:t>
      </w:r>
      <w:r>
        <w:t xml:space="preserve">and selective prediction routes uncertain cases to a clinician.</w:t>
      </w:r>
      <w:r>
        <w:rPr>
          <w:vertAlign w:val="superscript"/>
        </w:rPr>
        <w:t xml:space="preserve">[39]</w:t>
      </w:r>
      <w:r>
        <w:t xml:space="preserve"> </w:t>
      </w:r>
      <w:r>
        <w:t xml:space="preserve">The requirements can be stated as invariants: every acted-upon record traces to a source span, speaker, and encounter; deterministic semantics are computed, not generated; each inferred attribute carries a calibrated confidence; the system may abstain; higher-consequence actions receive tighter human review;</w:t>
      </w:r>
      <w:r>
        <w:rPr>
          <w:vertAlign w:val="superscript"/>
        </w:rPr>
        <w:t xml:space="preserve">[39]</w:t>
      </w:r>
      <w:r>
        <w:t xml:space="preserve"> </w:t>
      </w:r>
      <w:r>
        <w:t xml:space="preserve">an immutable trace links communication to action for audit;</w:t>
      </w:r>
      <w:r>
        <w:rPr>
          <w:vertAlign w:val="superscript"/>
        </w:rPr>
        <w:t xml:space="preserve">[40]</w:t>
      </w:r>
      <w:r>
        <w:t xml:space="preserve"> </w:t>
      </w:r>
      <w:r>
        <w:t xml:space="preserve">and extracted content stays distinct from inferred. Reliability, not scale, governs, and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operational endpoint shaped by implementation and workflow rather than recovery correctness, is reported separately. This framework, rather than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[41]</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whose value rests on the constructs it defines and their evaluation across tasks.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and distinguishing patient from clinician intent.</w:t>
      </w:r>
      <w:r>
        <w:t xml:space="preserve"> </w:t>
      </w:r>
      <w:r>
        <w:rPr>
          <w:b/>
          <w:bCs/>
        </w:rPr>
        <w:t xml:space="preserve">Evaluation:</w:t>
      </w:r>
      <w:r>
        <w:t xml:space="preserve"> </w:t>
      </w:r>
      <w:r>
        <w:t xml:space="preserve">authentic-data benchmarks beyond synthetic corpora,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[16,22]</w:t>
      </w:r>
      <w:r>
        <w:t xml:space="preserve"> </w:t>
      </w:r>
      <w:r>
        <w:t xml:space="preserve">human-factors design of the review queue, regulatory classification, and whether closed-loop operation improves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is falsifiable: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[27,42,43]</w:t>
      </w:r>
      <w:r>
        <w:t xml:space="preserve"> </w:t>
      </w:r>
      <w:r>
        <w:t xml:space="preserve">More decisively, the proposal fails if standard representations and metrics suffice to represent and evaluate communication-derived executable intent without the ACR’s distinctions.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its maturity ladder, and the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No new data were generated for this article. The feasibility results discussed in Section 7 derive from a companion study;</w:t>
      </w:r>
      <w:r>
        <w:rPr>
          <w:vertAlign w:val="superscript"/>
        </w:rPr>
        <w:t xml:space="preserve">[41]</w:t>
      </w:r>
      <w:r>
        <w:t xml:space="preserve"> </w:t>
      </w:r>
      <w:r>
        <w:t xml:space="preserve">details of that benchmark are reported therein.</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8.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9.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10.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11.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12.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13.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14.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15.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16.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17.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18.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19.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20.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21.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22.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23.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24.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25.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26.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27.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28.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29.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30.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31.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32.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33.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34.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35.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36.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37.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38.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39.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40.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41.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42.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43.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2026-08-08T18:02:04Z</dcterms:created>
  <dcterms:modified xsi:type="dcterms:W3CDTF">2026-08-08T18:02:04Z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