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information technology is usually organized by the technologies it adopts. We instead organize it by the unit of information a system makes computable, and describe an emerging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clinical intent), and formalize the Actionable Clinical Record (ACR) as the atomic object of the third layer.</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supports tractability.</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maturity ladder, and an executable-correctness evaluation framework are reusable constructs that subsequent work can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can be analyzed more durably through the computational objects it supports than through the technologies it adopts, which change rapidly.</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historical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responsible actor remain outside the computable substrate. The cost is measurable: test-result follow-up in ambulatory care often fails,</w:t>
      </w:r>
      <w:r>
        <w:rPr>
          <w:vertAlign w:val="superscript"/>
        </w:rPr>
        <w:t xml:space="preserve">[3]</w:t>
      </w:r>
      <w:r>
        <w:t xml:space="preserve"> </w:t>
      </w:r>
      <w:r>
        <w:t xml:space="preserve">only about one-third of specialist referrals reach a documented completed visit,</w:t>
      </w:r>
      <w:r>
        <w:rPr>
          <w:vertAlign w:val="superscript"/>
        </w:rPr>
        <w:t xml:space="preserve">[4]</w:t>
      </w:r>
      <w:r>
        <w:t xml:space="preserve"> </w:t>
      </w:r>
      <w:r>
        <w:t xml:space="preserve">and such loop-closure failures contribute to diagnostic error and avoidable harm.</w:t>
      </w:r>
      <w:r>
        <w:rPr>
          <w:vertAlign w:val="superscript"/>
        </w:rPr>
        <w:t xml:space="preserve">[5,6]</w:t>
      </w:r>
    </w:p>
    <w:p>
      <w:pPr>
        <w:pStyle w:val="BodyText"/>
        <w:jc w:val="both"/>
        <w:keepNext w:val="0"/>
        <w:keepLines w:val="0"/>
        <w:widowControl w:val="1"/>
      </w:pPr>
      <w:r>
        <w:t xml:space="preserve">This Perspective offers a framework and a vocabulary rather than a new empirical study: criteria for a computational layer and a three-layer organization of the field (Section 2); a formal definition of the Actionable Clinical Record (ACR) as the atomic object of the third layer (Section 5); an executable-correctness evaluation framework with a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a candidate that fails these markers is an incremental capability within an existing layer, not a new one.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 of electronic health records,</w:t>
      </w:r>
      <w:r>
        <w:rPr>
          <w:vertAlign w:val="superscript"/>
        </w:rPr>
        <w:t xml:space="preserve">[1,2]</w:t>
      </w:r>
      <w:r>
        <w:t xml:space="preserve"> </w:t>
      </w:r>
      <w:r>
        <w:t xml:space="preserve">whereas the third is a</w:t>
      </w:r>
      <w:r>
        <w:t xml:space="preserve"> </w:t>
      </w:r>
      <w:r>
        <w:rPr>
          <w:i/>
          <w:iCs/>
        </w:rPr>
        <w:t xml:space="preserve">prospective hypothesis</w:t>
      </w:r>
      <w:r>
        <w:t xml:space="preserve"> </w:t>
      </w:r>
      <w:r>
        <w:t xml:space="preserve">offered as an analytic lens rather than an established periodization. The lens is complementary to the data–information–knowledge hierarchy</w:t>
      </w:r>
      <w:r>
        <w:rPr>
          <w:vertAlign w:val="superscript"/>
        </w:rPr>
        <w:t xml:space="preserve">[7]</w:t>
      </w:r>
      <w:r>
        <w:t xml:space="preserve"> </w:t>
      </w:r>
      <w:r>
        <w:t xml:space="preserve">and to digital-maturity models such as EMRAM,</w:t>
      </w:r>
      <w:r>
        <w:rPr>
          <w:vertAlign w:val="superscript"/>
        </w:rPr>
        <w:t xml:space="preserve">[8,9]</w:t>
      </w:r>
      <w:r>
        <w:t xml:space="preserve"> </w:t>
      </w:r>
      <w:r>
        <w:t xml:space="preserve">which measure how much capability an institution has adopted; our concern is</w:t>
      </w:r>
      <w:r>
        <w:t xml:space="preserve"> </w:t>
      </w:r>
      <w:r>
        <w:rPr>
          <w:i/>
          <w:iCs/>
        </w:rPr>
        <w:t xml:space="preserve">which</w:t>
      </w:r>
      <w:r>
        <w:t xml:space="preserve"> </w:t>
      </w:r>
      <w:r>
        <w:t xml:space="preserve">clinical 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geTcPB/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subsumes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moved adoption to near-universal within a decade,</w:t>
      </w:r>
      <w:r>
        <w:rPr>
          <w:vertAlign w:val="superscript"/>
        </w:rPr>
        <w:t xml:space="preserve">[10,11]</w:t>
      </w:r>
      <w:r>
        <w:t xml:space="preserve"> </w:t>
      </w:r>
      <w:r>
        <w:t xml:space="preserve">extending the older problem-oriented-record ideal of an organized, auditable chart.</w:t>
      </w:r>
      <w:r>
        <w:rPr>
          <w:vertAlign w:val="superscript"/>
        </w:rPr>
        <w:t xml:space="preserve">[12]</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and cannot be reduced to a single technique: structured data entry, controlled terminologies,</w:t>
      </w:r>
      <w:r>
        <w:rPr>
          <w:vertAlign w:val="superscript"/>
        </w:rPr>
        <w:t xml:space="preserve">[13]</w:t>
      </w:r>
      <w:r>
        <w:t xml:space="preserve"> </w:t>
      </w:r>
      <w:r>
        <w:t xml:space="preserve">computerized order entry and coded lists, clinical data warehouses, and interoperability standards</w:t>
      </w:r>
      <w:r>
        <w:rPr>
          <w:vertAlign w:val="superscript"/>
        </w:rPr>
        <w:t xml:space="preserve">[14,15]</w:t>
      </w:r>
      <w:r>
        <w:t xml:space="preserve"> </w:t>
      </w:r>
      <w:r>
        <w:t xml:space="preserve">were as consequential as language processing, which was one route by which narrative facts entered the semantic layer (MedLEE and cTAKES parsing reports into coded concepts).</w:t>
      </w:r>
      <w:r>
        <w:rPr>
          <w:vertAlign w:val="superscript"/>
        </w:rPr>
        <w:t xml:space="preserve">[16,17]</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[18]</w:t>
      </w:r>
      <w:r>
        <w:t xml:space="preserve"> </w:t>
      </w:r>
      <w:r>
        <w:t xml:space="preserve">A tension remained: encoding meaning into structured fields captures facts, while much of the reasoning, and nearly all of the intended action, stays in narrative.</w:t>
      </w:r>
      <w:r>
        <w:rPr>
          <w:vertAlign w:val="superscript"/>
        </w:rPr>
        <w:t xml:space="preserve">[19]</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not the</w:t>
      </w:r>
      <w:r>
        <w:t xml:space="preserve"> </w:t>
      </w:r>
      <w:r>
        <w:rPr>
          <w:i/>
          <w:iCs/>
        </w:rPr>
        <w:t xml:space="preserve">intended actions</w:t>
      </w:r>
      <w:r>
        <w:t xml:space="preserve"> </w:t>
      </w:r>
      <w:r>
        <w:t xml:space="preserve">that constitute care. Healthcare IT can represent process, but only once a person or system has structured it: FHIR represents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PlanDefinition</w:t>
      </w:r>
      <w:r>
        <w:t xml:space="preserve">;</w:t>
      </w:r>
      <w:r>
        <w:rPr>
          <w:vertAlign w:val="superscript"/>
        </w:rPr>
        <w:t xml:space="preserve">[14]</w:t>
      </w:r>
      <w:r>
        <w:t xml:space="preserve"> </w:t>
      </w:r>
      <w:r>
        <w:t xml:space="preserve">computer-interpretable guidelines encode executable protocols;</w:t>
      </w:r>
      <w:r>
        <w:rPr>
          <w:vertAlign w:val="superscript"/>
        </w:rPr>
        <w:t xml:space="preserve">[20,21]</w:t>
      </w:r>
      <w:r>
        <w:t xml:space="preserve"> </w:t>
      </w:r>
      <w:r>
        <w:t xml:space="preserve">and process mining reconstructs pathways from event logs.</w:t>
      </w:r>
      <w:r>
        <w:rPr>
          <w:vertAlign w:val="superscript"/>
        </w:rPr>
        <w:t xml:space="preserve">[22,23]</w:t>
      </w:r>
      <w:r>
        <w:t xml:space="preserve"> </w:t>
      </w:r>
      <w:r>
        <w:t xml:space="preserve">These paradigms are complementary to the proposed layer and often provide the infrastructure to operationalize its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expressed primarily in communication. Existing paradigms address the first two. The missing capability, and the subject of the third layer, is recovering intended process from ordinary communication and converting it into computable, executable form.</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proposed third layer</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proposed third layer targets intended process, which the prescribed and observed paradigms do not recover from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We use one terminology throughout: clinical</w:t>
      </w:r>
      <w:r>
        <w:t xml:space="preserve"> </w:t>
      </w:r>
      <w:r>
        <w:rPr>
          <w:i/>
          <w:iCs/>
        </w:rPr>
        <w:t xml:space="preserve">communication</w:t>
      </w:r>
      <w:r>
        <w:t xml:space="preserve"> </w:t>
      </w:r>
      <w:r>
        <w:t xml:space="preserve">expresses clinical</w:t>
      </w:r>
      <w:r>
        <w:t xml:space="preserve"> </w:t>
      </w:r>
      <w:r>
        <w:rPr>
          <w:i/>
          <w:iCs/>
        </w:rPr>
        <w:t xml:space="preserve">intent</w:t>
      </w:r>
      <w:r>
        <w:t xml:space="preserve">; an intent decomposes into intended</w:t>
      </w:r>
      <w:r>
        <w:t xml:space="preserve"> </w:t>
      </w:r>
      <w:r>
        <w:rPr>
          <w:i/>
          <w:iCs/>
        </w:rPr>
        <w:t xml:space="preserve">actions</w:t>
      </w:r>
      <w:r>
        <w:t xml:space="preserve">; each action is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 and the remaining attributes are populated when the communication supports them.</w:t>
      </w:r>
    </w:p>
    <w:p>
      <w:pPr>
        <w:pStyle w:val="BodyText"/>
        <w:jc w:val="both"/>
        <w:keepNext w:val="0"/>
        <w:keepLines w:val="0"/>
        <w:widowControl w:val="1"/>
      </w:pPr>
      <w:r>
        <w:t xml:space="preserve">The attributes are defined semantically (Figure 2). Beyond</w:t>
      </w:r>
      <w:r>
        <w:t xml:space="preserve"> </w:t>
      </w:r>
      <w:r>
        <w:rPr>
          <w:i/>
          <w:iCs/>
        </w:rPr>
        <w:t xml:space="preserve">action</w:t>
      </w:r>
      <w:r>
        <w:t xml:space="preserve">,</w:t>
      </w:r>
      <w:r>
        <w:t xml:space="preserve"> </w:t>
      </w:r>
      <w:r>
        <w:rPr>
          <w:i/>
          <w:iCs/>
        </w:rPr>
        <w:t xml:space="preserve">target</w:t>
      </w:r>
      <w:r>
        <w:t xml:space="preserve"> </w:t>
      </w:r>
      <w:r>
        <w:t xml:space="preserve">(linked where possible to a layer-2 coded concept), and the responsible</w:t>
      </w:r>
      <w:r>
        <w:t xml:space="preserve"> </w:t>
      </w:r>
      <w:r>
        <w:rPr>
          <w:i/>
          <w:iCs/>
        </w:rPr>
        <w:t xml:space="preserve">actor</w:t>
      </w:r>
      <w:r>
        <w:t xml:space="preserve">, the</w:t>
      </w:r>
      <w:r>
        <w:t xml:space="preserve"> </w:t>
      </w:r>
      <w:r>
        <w:rPr>
          <w:i/>
          <w:iCs/>
        </w:rPr>
        <w:t xml:space="preserve">temporal constraint</w:t>
      </w:r>
      <w:r>
        <w:t xml:space="preserve"> </w:t>
      </w:r>
      <w:r>
        <w:t xml:space="preserve">is a normalized time semantics rather than a date alone, admitting absolute (“within six months”), relative (“before the next visit”), event-anchored (“after finishing antibiotics”), and recurring forms;</w:t>
      </w:r>
      <w:r>
        <w:t xml:space="preserve"> </w:t>
      </w:r>
      <w:r>
        <w:rPr>
          <w:i/>
          <w:iCs/>
        </w:rPr>
        <w:t xml:space="preserve">condition</w:t>
      </w:r>
      <w:r>
        <w:t xml:space="preserve"> </w:t>
      </w:r>
      <w:r>
        <w:t xml:space="preserve">is a clinical trigger;</w:t>
      </w:r>
      <w:r>
        <w:t xml:space="preserve"> </w:t>
      </w:r>
      <w:r>
        <w:rPr>
          <w:i/>
          <w:iCs/>
        </w:rPr>
        <w:t xml:space="preserve">dependency</w:t>
      </w:r>
      <w:r>
        <w:t xml:space="preserve"> </w:t>
      </w:r>
      <w:r>
        <w:t xml:space="preserve">encodes ordering;</w:t>
      </w:r>
      <w:r>
        <w:t xml:space="preserve"> </w:t>
      </w:r>
      <w:r>
        <w:rPr>
          <w:i/>
          <w:iCs/>
        </w:rPr>
        <w:t xml:space="preserve">status</w:t>
      </w:r>
      <w:r>
        <w:t xml:space="preserve"> </w:t>
      </w:r>
      <w:r>
        <w:t xml:space="preserve">is the rung on the maturity ladder;</w:t>
      </w:r>
      <w:r>
        <w:t xml:space="preserve"> </w:t>
      </w:r>
      <w:r>
        <w:rPr>
          <w:i/>
          <w:iCs/>
        </w:rPr>
        <w:t xml:space="preserve">provenance</w:t>
      </w:r>
      <w:r>
        <w:t xml:space="preserve"> </w:t>
      </w:r>
      <w:r>
        <w:t xml:space="preserve">grounds the record in its source span, speaker, and encounter; and</w:t>
      </w:r>
      <w:r>
        <w:t xml:space="preserve"> </w:t>
      </w:r>
      <w:r>
        <w:rPr>
          <w:i/>
          <w:iCs/>
        </w:rPr>
        <w:t xml:space="preserve">confidence</w:t>
      </w:r>
      <w:r>
        <w:t xml:space="preserve"> </w:t>
      </w:r>
      <w:r>
        <w:t xml:space="preserve">is a calibrated per-attribute uncertainty routing uncertain records to review.</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geTcPB/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is a capability ladder, and naming its rungs prevents over- and under-claiming. Recognizing that “complete blood count” appears in a note belongs to layer 2; extracting “repeat complete blood count” is a partial step; linking it to “two weeks” and a responsible actor produces an ACR; mapping it to a computed due date and a workflow object makes it executable; and detecting completion or escalation closes the loop. We label the rungs</w:t>
      </w:r>
      <w:r>
        <w:t xml:space="preserve"> </w:t>
      </w:r>
      <w:r>
        <w:rPr>
          <w:i/>
          <w:iCs/>
        </w:rPr>
        <w:t xml:space="preserve">mentioned, interpreted, actionable, executable, monitored,</w:t>
      </w:r>
      <w:r>
        <w:t xml:space="preserve"> </w:t>
      </w:r>
      <w:r>
        <w:t xml:space="preserve">and</w:t>
      </w:r>
      <w:r>
        <w:t xml:space="preserve"> </w:t>
      </w:r>
      <w:r>
        <w:rPr>
          <w:i/>
          <w:iCs/>
        </w:rPr>
        <w:t xml:space="preserve">closed</w:t>
      </w:r>
      <w:r>
        <w:t xml:space="preserve">; the ladder doubles as the ACR’s</w:t>
      </w:r>
      <w:r>
        <w:t xml:space="preserve"> </w:t>
      </w:r>
      <w:r>
        <w:rPr>
          <w:i/>
          <w:iCs/>
        </w:rPr>
        <w:t xml:space="preserve">status</w:t>
      </w:r>
      <w:r>
        <w:t xml:space="preserve"> </w:t>
      </w:r>
      <w:r>
        <w:t xml:space="preserve">attribute and distinguishes an</w:t>
      </w:r>
      <w:r>
        <w:t xml:space="preserve"> </w:t>
      </w:r>
      <w:r>
        <w:rPr>
          <w:i/>
          <w:iCs/>
        </w:rPr>
        <w:t xml:space="preserve">actionable</w:t>
      </w:r>
      <w:r>
        <w:t xml:space="preserve"> </w:t>
      </w:r>
      <w:r>
        <w:t xml:space="preserve">record from an</w:t>
      </w:r>
      <w:r>
        <w:t xml:space="preserve"> </w:t>
      </w:r>
      <w:r>
        <w:rPr>
          <w:i/>
          <w:iCs/>
        </w:rPr>
        <w:t xml:space="preserve">executable</w:t>
      </w:r>
      <w:r>
        <w:t xml:space="preserve"> </w:t>
      </w:r>
      <w:r>
        <w:t xml:space="preserve">one carrying enough resolved information to act on automatically.</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(discharge instructions, conversation, handovers, referrals, portal messages, telephone calls, ambient transcripts); its output is a set of ACRs that maps onto infrastructure the field already has.</w:t>
      </w:r>
      <w:r>
        <w:rPr>
          <w:vertAlign w:val="superscript"/>
        </w:rPr>
        <w:t xml:space="preserve">[14]</w:t>
      </w:r>
      <w:r>
        <w:t xml:space="preserve"> </w:t>
      </w:r>
      <w:r>
        <w:t xml:space="preserve">The mapping is explicit and situates the ACR</w:t>
      </w:r>
      <w:r>
        <w:t xml:space="preserve"> </w:t>
      </w:r>
      <w:r>
        <w:rPr>
          <w:i/>
          <w:iCs/>
        </w:rPr>
        <w:t xml:space="preserve">upstream</w:t>
      </w:r>
      <w:r>
        <w:t xml:space="preserve"> </w:t>
      </w:r>
      <w:r>
        <w:t xml:space="preserve">of these resources rather than as a competitor:</w:t>
      </w:r>
      <w:r>
        <w:t xml:space="preserve"> </w:t>
      </w:r>
      <w:r>
        <w:rPr>
          <w:i/>
          <w:iCs/>
        </w:rPr>
        <w:t xml:space="preserve">action</w:t>
      </w:r>
      <w:r>
        <w:t xml:space="preserve"> </w:t>
      </w:r>
      <w:r>
        <w:t xml:space="preserve">and</w:t>
      </w:r>
      <w:r>
        <w:t xml:space="preserve"> </w:t>
      </w:r>
      <w:r>
        <w:rPr>
          <w:i/>
          <w:iCs/>
        </w:rPr>
        <w:t xml:space="preserve">target</w:t>
      </w:r>
      <w:r>
        <w:t xml:space="preserve"> </w:t>
      </w:r>
      <w:r>
        <w:t xml:space="preserve">populate a</w:t>
      </w:r>
      <w:r>
        <w:t xml:space="preserve"> </w:t>
      </w:r>
      <w:r>
        <w:rPr>
          <w:i/>
          <w:iCs/>
        </w:rPr>
        <w:t xml:space="preserve">Task</w:t>
      </w:r>
      <w:r>
        <w:t xml:space="preserve"> </w:t>
      </w:r>
      <w:r>
        <w:t xml:space="preserve">or</w:t>
      </w:r>
      <w:r>
        <w:t xml:space="preserve"> </w:t>
      </w:r>
      <w:r>
        <w:rPr>
          <w:i/>
          <w:iCs/>
        </w:rPr>
        <w:t xml:space="preserve">ServiceRequest</w:t>
      </w:r>
      <w:r>
        <w:t xml:space="preserve"> </w:t>
      </w:r>
      <w:r>
        <w:t xml:space="preserve">and its code,</w:t>
      </w:r>
      <w:r>
        <w:t xml:space="preserve"> </w:t>
      </w:r>
      <w:r>
        <w:rPr>
          <w:i/>
          <w:iCs/>
        </w:rPr>
        <w:t xml:space="preserve">temporal constraint</w:t>
      </w:r>
      <w:r>
        <w:t xml:space="preserve"> </w:t>
      </w:r>
      <w:r>
        <w:t xml:space="preserve">the occurrence timing,</w:t>
      </w:r>
      <w:r>
        <w:t xml:space="preserve"> </w:t>
      </w:r>
      <w:r>
        <w:rPr>
          <w:i/>
          <w:iCs/>
        </w:rPr>
        <w:t xml:space="preserve">condition</w:t>
      </w:r>
      <w:r>
        <w:t xml:space="preserve"> </w:t>
      </w:r>
      <w:r>
        <w:t xml:space="preserve">a trigger or precondition,</w:t>
      </w:r>
      <w:r>
        <w:t xml:space="preserve"> </w:t>
      </w:r>
      <w:r>
        <w:rPr>
          <w:i/>
          <w:iCs/>
        </w:rPr>
        <w:t xml:space="preserve">actor</w:t>
      </w:r>
      <w:r>
        <w:t xml:space="preserve"> </w:t>
      </w:r>
      <w:r>
        <w:t xml:space="preserve">the owner or performer,</w:t>
      </w:r>
      <w:r>
        <w:t xml:space="preserve"> </w:t>
      </w:r>
      <w:r>
        <w:rPr>
          <w:i/>
          <w:iCs/>
        </w:rPr>
        <w:t xml:space="preserve">dependency</w:t>
      </w:r>
      <w:r>
        <w:t xml:space="preserve"> </w:t>
      </w:r>
      <w:r>
        <w:t xml:space="preserve">the</w:t>
      </w:r>
      <w:r>
        <w:t xml:space="preserve"> </w:t>
      </w:r>
      <w:r>
        <w:rPr>
          <w:i/>
          <w:iCs/>
        </w:rPr>
        <w:t xml:space="preserve">basedOn</w:t>
      </w:r>
      <w:r>
        <w:t xml:space="preserve">/</w:t>
      </w:r>
      <w:r>
        <w:rPr>
          <w:i/>
          <w:iCs/>
        </w:rPr>
        <w:t xml:space="preserve">partOf</w:t>
      </w:r>
      <w:r>
        <w:t xml:space="preserve"> </w:t>
      </w:r>
      <w:r>
        <w:t xml:space="preserve">links, and</w:t>
      </w:r>
      <w:r>
        <w:t xml:space="preserve"> </w:t>
      </w:r>
      <w:r>
        <w:rPr>
          <w:i/>
          <w:iCs/>
        </w:rPr>
        <w:t xml:space="preserve">status</w:t>
      </w:r>
      <w:r>
        <w:t xml:space="preserve"> </w:t>
      </w:r>
      <w:r>
        <w:t xml:space="preserve">the resource lifecycle, while</w:t>
      </w:r>
      <w:r>
        <w:t xml:space="preserve"> </w:t>
      </w:r>
      <w:r>
        <w:rPr>
          <w:i/>
          <w:iCs/>
        </w:rPr>
        <w:t xml:space="preserve">provenance</w:t>
      </w:r>
      <w:r>
        <w:t xml:space="preserve"> </w:t>
      </w:r>
      <w:r>
        <w:t xml:space="preserve">and</w:t>
      </w:r>
      <w:r>
        <w:t xml:space="preserve"> </w:t>
      </w:r>
      <w:r>
        <w:rPr>
          <w:i/>
          <w:iCs/>
        </w:rPr>
        <w:t xml:space="preserve">confidence</w:t>
      </w:r>
      <w:r>
        <w:t xml:space="preserve"> </w:t>
      </w:r>
      <w:r>
        <w:t xml:space="preserve">are extraction metadata with no native slot. Existing systems execute such instructions once structured; the capability the third layer adds is recovering them when they originate as natural communication.</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geTcPB/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p>
      <w:pPr>
        <w:pStyle w:val="BodyText"/>
        <w:jc w:val="both"/>
        <w:keepNext w:val="0"/>
        <w:keepLines w:val="0"/>
        <w:widowControl w:val="1"/>
      </w:pPr>
      <w:r>
        <w:t xml:space="preserve">Follow-up is the most-documented case, but it is one of a broader class of communication-derived process objects sharing the ACR representation: conditional escalation (“return immediately if fever develops”), medication transitions (“reduce the dose after seven days”), handoff commitments, referrals, pending-result responsibility, and patient self-management. Recent work on patient messages, incidental-finding follow-up, and ambient documentation indicates these channels routinely carry clinically consequential actionable content.</w:t>
      </w:r>
      <w:r>
        <w:rPr>
          <w:vertAlign w:val="superscript"/>
        </w:rPr>
        <w:t xml:space="preserve">[24]</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and temporality;</w:t>
      </w:r>
      <w:r>
        <w:rPr>
          <w:vertAlign w:val="superscript"/>
        </w:rPr>
        <w:t xml:space="preserve">[16,17,25]</w:t>
      </w:r>
      <w:r>
        <w:t xml:space="preserve"> </w:t>
      </w:r>
      <w:r>
        <w:t xml:space="preserve">the distinction is not facts versus actions but operational workflow semantics and execution reliability, the requirement that a recovered action be source-grounded, temporally normalized, and reliable enough to act on rather than only index. Advances in language models improve the feasibility of recovering these relations, but improving extraction is not, by itself, a layer transition. Computer-interpretable guidelines encode generic, population-level protocols;</w:t>
      </w:r>
      <w:r>
        <w:rPr>
          <w:vertAlign w:val="superscript"/>
        </w:rPr>
        <w:t xml:space="preserve">[20,21]</w:t>
      </w:r>
      <w:r>
        <w:t xml:space="preserve"> </w:t>
      </w:r>
      <w:r>
        <w:t xml:space="preserve">the third layer recovers patient-specific records from a particular encounter. The two are complementary: guidelines state what should generally happen; the third layer captures what a clinician instructed for this patient.</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text generator does not remove the requirements the third layer imposes. Auditability, verifiable temporal correctness, and a calibrated signal of when to defer are properties of the output contract, not gaps in model capability: a system acting on patient trajectories must establish that a computed date is correct and trace it to its source. General-purpose models interpret clinical language well but are less reliable where the layer is most demanding, in binding an action to its time and normalizing it into an executable schedule without omission or fabrication.</w:t>
      </w:r>
      <w:r>
        <w:rPr>
          <w:vertAlign w:val="superscript"/>
        </w:rPr>
        <w:t xml:space="preserve">[26,27]</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[28]</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[29]</w:t>
      </w:r>
      <w:r>
        <w:t xml:space="preserve"> </w:t>
      </w:r>
      <w:r>
        <w:t xml:space="preserve">while deterministic reasoning resolves times and due dates</w:t>
      </w:r>
      <w:r>
        <w:rPr>
          <w:vertAlign w:val="superscript"/>
        </w:rPr>
        <w:t xml:space="preserve">[30,31,32]</w:t>
      </w:r>
      <w:r>
        <w:t xml:space="preserve"> </w:t>
      </w:r>
      <w:r>
        <w:t xml:space="preserve">and selective prediction routes uncertain cases to a clinician.</w:t>
      </w:r>
      <w:r>
        <w:rPr>
          <w:vertAlign w:val="superscript"/>
        </w:rPr>
        <w:t xml:space="preserve">[33]</w:t>
      </w:r>
      <w:r>
        <w:t xml:space="preserve"> </w:t>
      </w:r>
      <w:r>
        <w:t xml:space="preserve">The requirements can be stated as invariants: every acted-upon record traces to a source span, speaker, and encounter; deterministic semantics are computed, not generated; each inferred attribute carries a calibrated confidence; the system may abstain; higher-consequence actions receive tighter human review;</w:t>
      </w:r>
      <w:r>
        <w:rPr>
          <w:vertAlign w:val="superscript"/>
        </w:rPr>
        <w:t xml:space="preserve">[33]</w:t>
      </w:r>
      <w:r>
        <w:t xml:space="preserve"> </w:t>
      </w:r>
      <w:r>
        <w:t xml:space="preserve">an immutable trace links communication to action for audit;</w:t>
      </w:r>
      <w:r>
        <w:rPr>
          <w:vertAlign w:val="superscript"/>
        </w:rPr>
        <w:t xml:space="preserve">[34]</w:t>
      </w:r>
      <w:r>
        <w:t xml:space="preserve"> </w:t>
      </w:r>
      <w:r>
        <w:t xml:space="preserve">and extracted content stays distinct from inferred. Reliability, not scale, is the governing constraint. Human confirmation is the expected operating mode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 and omitted-action rates; calibration and selective-risk behavior; source-provenance accuracy; and loop-closure outcome. This framework, rather than any single score, is the contribution we intend others to adopt.</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[35]</w:t>
      </w:r>
      <w:r>
        <w:t xml:space="preserve"> </w:t>
      </w:r>
      <w:r>
        <w:t xml:space="preserve">On the action–time pairing the executable representation requires, the hybrid pipeline substantially outperforms general-purpose language models, which recognize actions but bind them to times unreliably. This is an existence proof for one narrow subproblem, not evidence for the framework; the framework’s value rests on the constructs it defines and their evaluation across tasks.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and distinguishing patient from clinician intent.</w:t>
      </w:r>
      <w:r>
        <w:t xml:space="preserve"> </w:t>
      </w:r>
      <w:r>
        <w:rPr>
          <w:b/>
          <w:bCs/>
        </w:rPr>
        <w:t xml:space="preserve">Evaluation:</w:t>
      </w:r>
      <w:r>
        <w:t xml:space="preserve"> </w:t>
      </w:r>
      <w:r>
        <w:t xml:space="preserve">authentic-data benchmarks beyond synthetic corpora, the executable-correctness framework of Section 7 adopted across tasks, and cross-institution and cross-language generalization.</w:t>
      </w:r>
      <w:r>
        <w:t xml:space="preserve"> </w:t>
      </w:r>
      <w:r>
        <w:rPr>
          <w:b/>
          <w:bCs/>
        </w:rPr>
        <w:t xml:space="preserve">Integration and impact:</w:t>
      </w:r>
      <w:r>
        <w:t xml:space="preserve"> </w:t>
      </w:r>
      <w:r>
        <w:t xml:space="preserve">ACR-to-FHIR mapping and write-back into scheduling, results-management, and referral systems,</w:t>
      </w:r>
      <w:r>
        <w:rPr>
          <w:vertAlign w:val="superscript"/>
        </w:rPr>
        <w:t xml:space="preserve">[14,20]</w:t>
      </w:r>
      <w:r>
        <w:t xml:space="preserve"> </w:t>
      </w:r>
      <w:r>
        <w:t xml:space="preserve">human-factors design of the review queue, regulatory classification, and whether closed-loop operation improves clinical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invariants of Section 6. The proposal is falsifiable: machine-actionable use of FHIR workflow resources should grow relative to free-text follow-up; evaluation should shift toward executable-correctness measures; reliable systems should expose source-linked, auditable records with selective review rather than end-to-end generation; and ambient documentation should extend from notes to tasks and orders.</w:t>
      </w:r>
      <w:r>
        <w:rPr>
          <w:vertAlign w:val="superscript"/>
        </w:rPr>
        <w:t xml:space="preserve">[24,36]</w:t>
      </w:r>
      <w:r>
        <w:t xml:space="preserve"> </w:t>
      </w:r>
      <w:r>
        <w:t xml:space="preserve">Failure of these trends would count against it.</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and verifiable representations of intended action, formalized as the Actionable Clinical Record and situated upstream of existing workflow infrastructure. We offer the framework, the ACR, its maturity ladder, and the evaluation framework as reusable constructs that subsequent work can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No new data were generated for this article. The feasibility results discussed in Section 7 derive from a companion study;</w:t>
      </w:r>
      <w:r>
        <w:rPr>
          <w:vertAlign w:val="superscript"/>
        </w:rPr>
        <w:t xml:space="preserve">[35]</w:t>
      </w:r>
      <w:r>
        <w:t xml:space="preserve"> </w:t>
      </w:r>
      <w:r>
        <w:t xml:space="preserve">details of that benchmark are reported therein.</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6.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7.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8.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9.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10.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11.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12.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13.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14.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15.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16.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17.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18.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19.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20.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21.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22.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23.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24.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25.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26.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27.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28.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29.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30.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31.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32.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33.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34.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35.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36.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bookmarkEnd w:id="3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2026-08-08T15:54:43Z</dcterms:created>
  <dcterms:modified xsi:type="dcterms:W3CDTF">2026-08-08T15:54:43Z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