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 PhD</w:t>
      </w:r>
      <w:r>
        <w:rPr>
          <w:rFonts w:ascii="Georgia" w:hAnsi="Georgia"/>
          <w:b w:val="0"/>
          <w:i/>
          <w:sz w:val="20"/>
          <w:vertAlign w:val="superscript"/>
        </w:rPr>
        <w:t xml:space="preserve">1</w:t>
      </w:r>
      <w:r>
        <w:rPr>
          <w:rFonts w:ascii="Georgia" w:hAnsi="Georgia"/>
          <w:b w:val="0"/>
          <w:i/>
          <w:sz w:val="20"/>
        </w:rPr>
        <w:t xml:space="preserve">, Yehudit Aperstein, PhD</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 Main text: 2000 words.</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IT is usually organized by the technologies it adopts. We instead organize it by the unit of information a system makes computable, and describe a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intent), and formalize the Actionable Clinical Record (ACR) as the third layer’s atomic object.</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illustrates tractability for one narrow subproblem.</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readiness ladder, and an executable-correctness evaluation framework are reusable constructs for subsequent work to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FHIR</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is best analyzed through the computational objects it supports rather than the technologies it adopts.</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owner outside the computable substrate. The cost is measurable: test-result follow-up often fails,</w:t>
      </w:r>
      <w:r>
        <w:rPr>
          <w:vertAlign w:val="superscript"/>
        </w:rPr>
        <w:t xml:space="preserve">[3]</w:t>
      </w:r>
      <w:r>
        <w:t xml:space="preserve"> </w:t>
      </w:r>
      <w:r>
        <w:t xml:space="preserve">in one large health system only about one-third of specialist referrals reached a completed visit,</w:t>
      </w:r>
      <w:r>
        <w:rPr>
          <w:vertAlign w:val="superscript"/>
        </w:rPr>
        <w:t xml:space="preserve">[4]</w:t>
      </w:r>
      <w:r>
        <w:t xml:space="preserve"> </w:t>
      </w:r>
      <w:r>
        <w:t xml:space="preserve">and such loop-closure failures, rooted in ambiguous responsibility and care-coordination breakdowns,</w:t>
      </w:r>
      <w:r>
        <w:rPr>
          <w:vertAlign w:val="superscript"/>
        </w:rPr>
        <w:t xml:space="preserve">[5]</w:t>
      </w:r>
      <w:r>
        <w:t xml:space="preserve"> </w:t>
      </w:r>
      <w:r>
        <w:t xml:space="preserve">contribute to diagnostic error and avoidable harm.</w:t>
      </w:r>
      <w:r>
        <w:rPr>
          <w:vertAlign w:val="superscript"/>
        </w:rPr>
        <w:t xml:space="preserve">[6,7,8,9]</w:t>
      </w:r>
    </w:p>
    <w:p>
      <w:pPr>
        <w:pStyle w:val="BodyText"/>
        <w:jc w:val="both"/>
        <w:keepNext w:val="0"/>
        <w:keepLines w:val="0"/>
        <w:widowControl w:val="1"/>
      </w:pPr>
      <w:r>
        <w:t xml:space="preserve">This Perspective offers a framework and vocabulary rather than a new empirical study: layer criteria and a three-layer organization (Section 2), the Actionable Clinical Record (ACR) as the third layer’s atomic object (Section 5), an executable-correctness evaluation framework and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It is complementary to the data–information–knowledge hierarchy</w:t>
      </w:r>
      <w:r>
        <w:rPr>
          <w:vertAlign w:val="superscript"/>
        </w:rPr>
        <w:t xml:space="preserve">[10]</w:t>
      </w:r>
      <w:r>
        <w:t xml:space="preserve"> </w:t>
      </w:r>
      <w:r>
        <w:t xml:space="preserve">and digital-maturity models such as EMRAM,</w:t>
      </w:r>
      <w:r>
        <w:rPr>
          <w:vertAlign w:val="superscript"/>
        </w:rPr>
        <w:t xml:space="preserve">[11,12]</w:t>
      </w:r>
      <w:r>
        <w:t xml:space="preserve"> </w:t>
      </w:r>
      <w:r>
        <w:t xml:space="preserve">which measure adopted capability;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cBpbml/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builds on the one below.</w:t>
      </w:r>
    </w:p>
    <w:tbl>
      <w:tblPr>
        <w:tblStyle w:val="Table"/>
        <w:tblW w:type="dxa" w:w="7918"/>
        <w:jc w:val="center"/>
        <w:tblLayout w:type="fixed"/>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44"/>
        <w:gridCol w:w="1900"/>
        <w:gridCol w:w="1857"/>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drove rapid nationwide EHR adoption,</w:t>
      </w:r>
      <w:r>
        <w:rPr>
          <w:vertAlign w:val="superscript"/>
        </w:rPr>
        <w:t xml:space="preserve">[13,14]</w:t>
      </w:r>
      <w:r>
        <w:t xml:space="preserve"> </w:t>
      </w:r>
      <w:r>
        <w:t xml:space="preserve">extending the older problem-oriented-record ideal.</w:t>
      </w:r>
      <w:r>
        <w:rPr>
          <w:vertAlign w:val="superscript"/>
        </w:rPr>
        <w:t xml:space="preserve">[15]</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[16]</w:t>
      </w:r>
      <w:r>
        <w:t xml:space="preserve"> </w:t>
      </w:r>
      <w:r>
        <w:t xml:space="preserve">computerized order entry, data warehouses, and interoperability standards</w:t>
      </w:r>
      <w:r>
        <w:rPr>
          <w:vertAlign w:val="superscript"/>
        </w:rPr>
        <w:t xml:space="preserve">[17,18]</w:t>
      </w:r>
      <w:r>
        <w:t xml:space="preserve"> </w:t>
      </w:r>
      <w:r>
        <w:t xml:space="preserve">mattered as much as language processing, one route by which narrative facts entered the semantic layer (MedLEE, cTAKES).</w:t>
      </w:r>
      <w:r>
        <w:rPr>
          <w:vertAlign w:val="superscript"/>
        </w:rPr>
        <w:t xml:space="preserve">[19,20]</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[21]</w:t>
      </w:r>
      <w:r>
        <w:t xml:space="preserve"> </w:t>
      </w:r>
      <w:r>
        <w:t xml:space="preserve">A tension remained: encoding meaning into structured fields captures facts, while much clinical reasoning and many intended actions remain expressed only in narrative.</w:t>
      </w:r>
      <w:r>
        <w:rPr>
          <w:vertAlign w:val="superscript"/>
        </w:rPr>
        <w:t xml:space="preserve">[22]</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many patient-specific</w:t>
      </w:r>
      <w:r>
        <w:t xml:space="preserve"> </w:t>
      </w:r>
      <w:r>
        <w:rPr>
          <w:i/>
          <w:iCs/>
        </w:rPr>
        <w:t xml:space="preserve">intended actions</w:t>
      </w:r>
      <w:r>
        <w:t xml:space="preserve"> </w:t>
      </w:r>
      <w:r>
        <w:t xml:space="preserve">remain non-computable while they are expressed only in unstructured communication. Healthcare IT can represent process, but only once a person or system has structured it: FHIR can represent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Task</w:t>
      </w:r>
      <w:r>
        <w:t xml:space="preserve">, while</w:t>
      </w:r>
      <w:r>
        <w:t xml:space="preserve"> </w:t>
      </w:r>
      <w:r>
        <w:rPr>
          <w:i/>
          <w:iCs/>
        </w:rPr>
        <w:t xml:space="preserve">PlanDefinition</w:t>
      </w:r>
      <w:r>
        <w:t xml:space="preserve"> </w:t>
      </w:r>
      <w:r>
        <w:t xml:space="preserve">defines reusable protocols that are instantiated per patient;</w:t>
      </w:r>
      <w:r>
        <w:rPr>
          <w:vertAlign w:val="superscript"/>
        </w:rPr>
        <w:t xml:space="preserve">[23]</w:t>
      </w:r>
      <w:r>
        <w:t xml:space="preserve"> </w:t>
      </w:r>
      <w:r>
        <w:t xml:space="preserve">computer-interpretable guidelines and care-pathway models encode executable protocols;</w:t>
      </w:r>
      <w:r>
        <w:rPr>
          <w:vertAlign w:val="superscript"/>
        </w:rPr>
        <w:t xml:space="preserve">[24,25,26]</w:t>
      </w:r>
      <w:r>
        <w:t xml:space="preserve"> </w:t>
      </w:r>
      <w:r>
        <w:t xml:space="preserve">and process mining reconstructs pathways from event logs.</w:t>
      </w:r>
      <w:r>
        <w:rPr>
          <w:vertAlign w:val="superscript"/>
        </w:rPr>
        <w:t xml:space="preserve">[27,28]</w:t>
      </w:r>
      <w:r>
        <w:t xml:space="preserve"> </w:t>
      </w:r>
      <w:r>
        <w:t xml:space="preserve">These paradigms are complementary and often provide infrastructure to operationalize the proposed layer’s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often expressed in communication rather than structured directly. Existing workflow paradigms represent and operationalize intended process once it has been structured, but they do not themselves specify recovery from unstructured communication; the third layer concerns that recovery and its conversion into executable form.</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categories describe the semantic status of a process statement, not exclusive source types. The proposed third layer targets recovery of patient-specific intended process that remains expressed in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may express</w:t>
      </w:r>
      <w:r>
        <w:t xml:space="preserve"> </w:t>
      </w:r>
      <w:r>
        <w:rPr>
          <w:i/>
          <w:iCs/>
        </w:rPr>
        <w:t xml:space="preserve">intent</w:t>
      </w:r>
      <w:r>
        <w:t xml:space="preserve">; an intent decomposes into intended</w:t>
      </w:r>
      <w:r>
        <w:t xml:space="preserve"> </w:t>
      </w:r>
      <w:r>
        <w:rPr>
          <w:i/>
          <w:iCs/>
        </w:rPr>
        <w:t xml:space="preserve">actions</w:t>
      </w:r>
      <w:r>
        <w:t xml:space="preserve">; each intended action is represented by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w:t>
      </w:r>
      <w:r>
        <w:t xml:space="preserve"> </w:t>
      </w:r>
      <w:r>
        <w:rPr>
          <w:i/>
          <w:iCs/>
        </w:rPr>
        <w:t xml:space="preserve">target</w:t>
      </w:r>
      <w:r>
        <w:t xml:space="preserve">,</w:t>
      </w:r>
      <w:r>
        <w:t xml:space="preserve"> </w:t>
      </w:r>
      <w:r>
        <w:rPr>
          <w:i/>
          <w:iCs/>
        </w:rPr>
        <w:t xml:space="preserve">actor</w:t>
      </w:r>
      <w:r>
        <w:t xml:space="preserve">,</w:t>
      </w:r>
      <w:r>
        <w:t xml:space="preserve"> </w:t>
      </w:r>
      <w:r>
        <w:rPr>
          <w:i/>
          <w:iCs/>
        </w:rPr>
        <w:t xml:space="preserve">temporal constraint</w:t>
      </w:r>
      <w:r>
        <w:t xml:space="preserve">,</w:t>
      </w:r>
      <w:r>
        <w:t xml:space="preserve"> </w:t>
      </w:r>
      <w:r>
        <w:rPr>
          <w:i/>
          <w:iCs/>
        </w:rPr>
        <w:t xml:space="preserve">condition</w:t>
      </w:r>
      <w:r>
        <w:t xml:space="preserve">, and</w:t>
      </w:r>
      <w:r>
        <w:t xml:space="preserve"> </w:t>
      </w:r>
      <w:r>
        <w:rPr>
          <w:i/>
          <w:iCs/>
        </w:rPr>
        <w:t xml:space="preserve">dependency</w:t>
      </w:r>
      <w:r>
        <w:t xml:space="preserve"> </w:t>
      </w:r>
      <w:r>
        <w:t xml:space="preserve">are populated when communicated or explicitly inferred; and</w:t>
      </w:r>
      <w:r>
        <w:t xml:space="preserve"> </w:t>
      </w:r>
      <w:r>
        <w:rPr>
          <w:i/>
          <w:iCs/>
        </w:rPr>
        <w:t xml:space="preserve">confidence</w:t>
      </w:r>
      <w:r>
        <w:t xml:space="preserve"> </w:t>
      </w:r>
      <w:r>
        <w:t xml:space="preserve">is a per-attribute map recording calibrated recovery-system uncertainty for inferred attributes.</w:t>
      </w:r>
    </w:p>
    <w:p>
      <w:pPr>
        <w:pStyle w:val="BodyText"/>
        <w:jc w:val="both"/>
        <w:keepNext w:val="0"/>
        <w:keepLines w:val="0"/>
        <w:widowControl w:val="1"/>
      </w:pPr>
      <w:r>
        <w:t xml:space="preserve">Each attribute has a fixed semantics (Figure 2):</w:t>
      </w:r>
      <w:r>
        <w:t xml:space="preserve"> </w:t>
      </w:r>
      <w:r>
        <w:rPr>
          <w:i/>
          <w:iCs/>
        </w:rPr>
        <w:t xml:space="preserve">action</w:t>
      </w:r>
      <w:r>
        <w:t xml:space="preserve">, the requested operation;</w:t>
      </w:r>
      <w:r>
        <w:t xml:space="preserve"> </w:t>
      </w:r>
      <w:r>
        <w:rPr>
          <w:i/>
          <w:iCs/>
        </w:rPr>
        <w:t xml:space="preserve">target</w:t>
      </w:r>
      <w:r>
        <w:t xml:space="preserve">, the object acted upon, linked to a layer-2 coded concept where possible;</w:t>
      </w:r>
      <w:r>
        <w:t xml:space="preserve"> </w:t>
      </w:r>
      <w:r>
        <w:rPr>
          <w:i/>
          <w:iCs/>
        </w:rPr>
        <w:t xml:space="preserve">actor</w:t>
      </w:r>
      <w:r>
        <w:t xml:space="preserve">, the responsible performer rather than the speaker;</w:t>
      </w:r>
      <w:r>
        <w:t xml:space="preserve"> </w:t>
      </w:r>
      <w:r>
        <w:rPr>
          <w:i/>
          <w:iCs/>
        </w:rPr>
        <w:t xml:space="preserve">temporal constraint</w:t>
      </w:r>
      <w:r>
        <w:t xml:space="preserve">, a normalized time (absolute, relative, event-anchored, or recurring) rather than a date alone;</w:t>
      </w:r>
      <w:r>
        <w:t xml:space="preserve"> </w:t>
      </w:r>
      <w:r>
        <w:rPr>
          <w:i/>
          <w:iCs/>
        </w:rPr>
        <w:t xml:space="preserve">condition</w:t>
      </w:r>
      <w:r>
        <w:t xml:space="preserve">, a proposition governing applicability;</w:t>
      </w:r>
      <w:r>
        <w:t xml:space="preserve"> </w:t>
      </w:r>
      <w:r>
        <w:rPr>
          <w:i/>
          <w:iCs/>
        </w:rPr>
        <w:t xml:space="preserve">dependency</w:t>
      </w:r>
      <w:r>
        <w:t xml:space="preserve">, ordering and prerequisites;</w:t>
      </w:r>
      <w:r>
        <w:t xml:space="preserve"> </w:t>
      </w:r>
      <w:r>
        <w:rPr>
          <w:i/>
          <w:iCs/>
        </w:rPr>
        <w:t xml:space="preserve">status</w:t>
      </w:r>
      <w:r>
        <w:t xml:space="preserve">, the operational lifecycle state; and</w:t>
      </w:r>
      <w:r>
        <w:t xml:space="preserve"> </w:t>
      </w:r>
      <w:r>
        <w:rPr>
          <w:i/>
          <w:iCs/>
        </w:rPr>
        <w:t xml:space="preserve">provenance</w:t>
      </w:r>
      <w:r>
        <w:t xml:space="preserve">, the source span, speaker, and encounter.</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cBpbml/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spans two distinct axes that together prevent over- and under-claiming. A representational</w:t>
      </w:r>
      <w:r>
        <w:t xml:space="preserve"> </w:t>
      </w:r>
      <w:r>
        <w:rPr>
          <w:i/>
          <w:iCs/>
        </w:rPr>
        <w:t xml:space="preserve">readiness</w:t>
      </w:r>
      <w:r>
        <w:t xml:space="preserve"> </w:t>
      </w:r>
      <w:r>
        <w:t xml:space="preserve">ladder runs</w:t>
      </w:r>
      <w:r>
        <w:t xml:space="preserve"> </w:t>
      </w:r>
      <w:r>
        <w:rPr>
          <w:i/>
          <w:iCs/>
        </w:rPr>
        <w:t xml:space="preserve">mentioned → interpreted → actionable → executable</w:t>
      </w:r>
      <w:r>
        <w:t xml:space="preserve">: recognizing “complete blood count” in a note is layer 2; extracting “repeat complete blood count” is partial; adding “two weeks” and a responsible actor makes it actionable; resolving a due date and workflow object makes it executable. Separately, the ACR’s</w:t>
      </w:r>
      <w:r>
        <w:t xml:space="preserve"> </w:t>
      </w:r>
      <w:r>
        <w:rPr>
          <w:i/>
          <w:iCs/>
        </w:rPr>
        <w:t xml:space="preserve">status</w:t>
      </w:r>
      <w:r>
        <w:t xml:space="preserve"> </w:t>
      </w:r>
      <w:r>
        <w:t xml:space="preserve">attribute records the operational lifecycle of the recovered action, from</w:t>
      </w:r>
      <w:r>
        <w:t xml:space="preserve"> </w:t>
      </w:r>
      <w:r>
        <w:rPr>
          <w:i/>
          <w:iCs/>
        </w:rPr>
        <w:t xml:space="preserve">recovered</w:t>
      </w:r>
      <w:r>
        <w:t xml:space="preserve"> </w:t>
      </w:r>
      <w:r>
        <w:t xml:space="preserve">and</w:t>
      </w:r>
      <w:r>
        <w:t xml:space="preserve"> </w:t>
      </w:r>
      <w:r>
        <w:rPr>
          <w:i/>
          <w:iCs/>
        </w:rPr>
        <w:t xml:space="preserve">confirmed</w:t>
      </w:r>
      <w:r>
        <w:t xml:space="preserve"> </w:t>
      </w:r>
      <w:r>
        <w:t xml:space="preserve">to</w:t>
      </w:r>
      <w:r>
        <w:t xml:space="preserve"> </w:t>
      </w:r>
      <w:r>
        <w:rPr>
          <w:i/>
          <w:iCs/>
        </w:rPr>
        <w:t xml:space="preserve">active</w:t>
      </w:r>
      <w:r>
        <w:t xml:space="preserve"> </w:t>
      </w:r>
      <w:r>
        <w:t xml:space="preserve">and then</w:t>
      </w:r>
      <w:r>
        <w:t xml:space="preserve"> </w:t>
      </w:r>
      <w:r>
        <w:rPr>
          <w:i/>
          <w:iCs/>
        </w:rPr>
        <w:t xml:space="preserve">completed</w:t>
      </w:r>
      <w:r>
        <w:t xml:space="preserve"> </w:t>
      </w:r>
      <w:r>
        <w:t xml:space="preserve">or</w:t>
      </w:r>
      <w:r>
        <w:t xml:space="preserve"> </w:t>
      </w:r>
      <w:r>
        <w:rPr>
          <w:i/>
          <w:iCs/>
        </w:rPr>
        <w:t xml:space="preserve">cancelled</w:t>
      </w:r>
      <w:r>
        <w:t xml:space="preserve">, without changing its representational readiness; detecting completion or escalation closes the loop.</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its output is a set of ACRs that maps onto infrastructure the field already has.</w:t>
      </w:r>
      <w:r>
        <w:rPr>
          <w:vertAlign w:val="superscript"/>
        </w:rPr>
        <w:t xml:space="preserve">[17,23]</w:t>
      </w:r>
      <w:r>
        <w:t xml:space="preserve"> </w:t>
      </w:r>
      <w:r>
        <w:t xml:space="preserve">The mapping situates the ACR</w:t>
      </w:r>
      <w:r>
        <w:t xml:space="preserve"> </w:t>
      </w:r>
      <w:r>
        <w:rPr>
          <w:i/>
          <w:iCs/>
        </w:rPr>
        <w:t xml:space="preserve">upstream</w:t>
      </w:r>
      <w:r>
        <w:t xml:space="preserve"> </w:t>
      </w:r>
      <w:r>
        <w:t xml:space="preserve">of these resources rather than as a competitor, translating attributes into workflow elements according to the target resource and profile: for example,</w:t>
      </w:r>
      <w:r>
        <w:t xml:space="preserve"> </w:t>
      </w:r>
      <w:r>
        <w:rPr>
          <w:i/>
          <w:iCs/>
        </w:rPr>
        <w:t xml:space="preserve">action</w:t>
      </w:r>
      <w:r>
        <w:t xml:space="preserve"> </w:t>
      </w:r>
      <w:r>
        <w:t xml:space="preserve">and</w:t>
      </w:r>
      <w:r>
        <w:t xml:space="preserve"> </w:t>
      </w:r>
      <w:r>
        <w:rPr>
          <w:i/>
          <w:iCs/>
        </w:rPr>
        <w:t xml:space="preserve">target</w:t>
      </w:r>
      <w:r>
        <w:t xml:space="preserve"> </w:t>
      </w:r>
      <w:r>
        <w:t xml:space="preserve">into a</w:t>
      </w:r>
      <w:r>
        <w:t xml:space="preserve"> </w:t>
      </w:r>
      <w:r>
        <w:rPr>
          <w:i/>
          <w:iCs/>
        </w:rPr>
        <w:t xml:space="preserve">Task</w:t>
      </w:r>
      <w:r>
        <w:t xml:space="preserve"> </w:t>
      </w:r>
      <w:r>
        <w:t xml:space="preserve">or</w:t>
      </w:r>
      <w:r>
        <w:t xml:space="preserve"> </w:t>
      </w:r>
      <w:r>
        <w:rPr>
          <w:i/>
          <w:iCs/>
        </w:rPr>
        <w:t xml:space="preserve">ServiceRequest</w:t>
      </w:r>
      <w:r>
        <w:t xml:space="preserve">,</w:t>
      </w:r>
      <w:r>
        <w:t xml:space="preserve"> </w:t>
      </w:r>
      <w:r>
        <w:rPr>
          <w:i/>
          <w:iCs/>
        </w:rPr>
        <w:t xml:space="preserve">temporal constraint</w:t>
      </w:r>
      <w:r>
        <w:t xml:space="preserve"> </w:t>
      </w:r>
      <w:r>
        <w:t xml:space="preserve">into the resource-appropriate timing element,</w:t>
      </w:r>
      <w:r>
        <w:t xml:space="preserve"> </w:t>
      </w:r>
      <w:r>
        <w:rPr>
          <w:i/>
          <w:iCs/>
        </w:rPr>
        <w:t xml:space="preserve">actor</w:t>
      </w:r>
      <w:r>
        <w:t xml:space="preserve"> </w:t>
      </w:r>
      <w:r>
        <w:t xml:space="preserve">into performer or owner semantics, and</w:t>
      </w:r>
      <w:r>
        <w:t xml:space="preserve"> </w:t>
      </w:r>
      <w:r>
        <w:rPr>
          <w:i/>
          <w:iCs/>
        </w:rPr>
        <w:t xml:space="preserve">dependency</w:t>
      </w:r>
      <w:r>
        <w:t xml:space="preserve"> </w:t>
      </w:r>
      <w:r>
        <w:t xml:space="preserve">and</w:t>
      </w:r>
      <w:r>
        <w:t xml:space="preserve"> </w:t>
      </w:r>
      <w:r>
        <w:rPr>
          <w:i/>
          <w:iCs/>
        </w:rPr>
        <w:t xml:space="preserve">status</w:t>
      </w:r>
      <w:r>
        <w:t xml:space="preserve"> </w:t>
      </w:r>
      <w:r>
        <w:t xml:space="preserve">into resource-appropriate relationship and lifecycle fields (</w:t>
      </w:r>
      <w:r>
        <w:rPr>
          <w:i/>
          <w:iCs/>
        </w:rPr>
        <w:t xml:space="preserve">basedOn</w:t>
      </w:r>
      <w:r>
        <w:t xml:space="preserve"> </w:t>
      </w:r>
      <w:r>
        <w:t xml:space="preserve">or</w:t>
      </w:r>
      <w:r>
        <w:t xml:space="preserve"> </w:t>
      </w:r>
      <w:r>
        <w:rPr>
          <w:i/>
          <w:iCs/>
        </w:rPr>
        <w:t xml:space="preserve">partOf</w:t>
      </w:r>
      <w:r>
        <w:t xml:space="preserve"> </w:t>
      </w:r>
      <w:r>
        <w:t xml:space="preserve">where they apply, orchestration constructs for prerequisites) whose FHIR semantics differ from the ACR’s and need profile-specific mapping. Recovery</w:t>
      </w:r>
      <w:r>
        <w:t xml:space="preserve"> </w:t>
      </w:r>
      <w:r>
        <w:rPr>
          <w:i/>
          <w:iCs/>
        </w:rPr>
        <w:t xml:space="preserve">provenance</w:t>
      </w:r>
      <w:r>
        <w:t xml:space="preserve"> </w:t>
      </w:r>
      <w:r>
        <w:t xml:space="preserve">can itself be represented with a FHIR</w:t>
      </w:r>
      <w:r>
        <w:t xml:space="preserve"> </w:t>
      </w:r>
      <w:r>
        <w:rPr>
          <w:i/>
          <w:iCs/>
        </w:rPr>
        <w:t xml:space="preserve">Provenance</w:t>
      </w:r>
      <w:r>
        <w:t xml:space="preserve"> </w:t>
      </w:r>
      <w:r>
        <w:t xml:space="preserve">resource or profile, while</w:t>
      </w:r>
      <w:r>
        <w:t xml:space="preserve"> </w:t>
      </w:r>
      <w:r>
        <w:rPr>
          <w:i/>
          <w:iCs/>
        </w:rPr>
        <w:t xml:space="preserve">confidence</w:t>
      </w:r>
      <w:r>
        <w:t xml:space="preserve"> </w:t>
      </w:r>
      <w:r>
        <w:t xml:space="preserve">generally remains metadata of the recovery system.</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cBpbml/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ACRs as the bridge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a well-documented case, one of a broader class of communication-derived process objects sharing the ACR representation: conditional escalation, medication transitions, handoffs, referrals, and pending-result responsibility. Recent shared tasks extract structured orders directly from clinical conversations,</w:t>
      </w:r>
      <w:r>
        <w:rPr>
          <w:vertAlign w:val="superscript"/>
        </w:rPr>
        <w:t xml:space="preserve">[29]</w:t>
      </w:r>
      <w:r>
        <w:t xml:space="preserve"> </w:t>
      </w:r>
      <w:r>
        <w:t xml:space="preserve">while ambient documentation shows these conversations are already captured.</w:t>
      </w:r>
      <w:r>
        <w:rPr>
          <w:vertAlign w:val="superscript"/>
        </w:rPr>
        <w:t xml:space="preserve">[30]</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 increasingly with language models,</w:t>
      </w:r>
      <w:r>
        <w:rPr>
          <w:vertAlign w:val="superscript"/>
        </w:rPr>
        <w:t xml:space="preserve">[19,20,31,32,33,34,35,36]</w:t>
      </w:r>
      <w:r>
        <w:t xml:space="preserve"> </w:t>
      </w:r>
      <w:r>
        <w:t xml:space="preserve">and directly extracts physician action items and medical decisions from clinical notes.</w:t>
      </w:r>
      <w:r>
        <w:rPr>
          <w:vertAlign w:val="superscript"/>
        </w:rPr>
        <w:t xml:space="preserve">[37,38]</w:t>
      </w:r>
      <w:r>
        <w:t xml:space="preserve"> </w:t>
      </w:r>
      <w:r>
        <w:t xml:space="preserve">Even order extraction from conversation targets a flat schema scored by text overlap;</w:t>
      </w:r>
      <w:r>
        <w:rPr>
          <w:vertAlign w:val="superscript"/>
        </w:rPr>
        <w:t xml:space="preserve">[29]</w:t>
      </w:r>
      <w:r>
        <w:t xml:space="preserve"> </w:t>
      </w:r>
      <w:r>
        <w:t xml:space="preserve">the distinction the ACR draws is operational, requiring that a recovered action be source-grounded, temporally normalized, and carry the actor, condition, and dependency structure needed to execute rather than only index it. Computer-interpretable guidelines encode generic, population-level protocols;</w:t>
      </w:r>
      <w:r>
        <w:rPr>
          <w:vertAlign w:val="superscript"/>
        </w:rPr>
        <w:t xml:space="preserve">[24,25]</w:t>
      </w:r>
      <w:r>
        <w:t xml:space="preserve"> </w:t>
      </w:r>
      <w:r>
        <w:t xml:space="preserve">the third layer recovers patient-specific records from a particular encounter, capturing what a clinician instructed for this patient.</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third layer’s requirements: auditability, verifiable temporal correctness, and a calibrated signal of when to defer are properties of the output contract, not of model capability. Large language models show clinical information-extraction and medical-reasoning capability</w:t>
      </w:r>
      <w:r>
        <w:rPr>
          <w:vertAlign w:val="superscript"/>
        </w:rPr>
        <w:t xml:space="preserve">[35,39]</w:t>
      </w:r>
      <w:r>
        <w:t xml:space="preserve"> </w:t>
      </w:r>
      <w:r>
        <w:t xml:space="preserve">but can produce unreliable or unsupported outputs;</w:t>
      </w:r>
      <w:r>
        <w:rPr>
          <w:vertAlign w:val="superscript"/>
        </w:rPr>
        <w:t xml:space="preserve">[40]</w:t>
      </w:r>
      <w:r>
        <w:t xml:space="preserve"> </w:t>
      </w:r>
      <w:r>
        <w:t xml:space="preserve">this matters most in binding an action to its time, a setting where general-purpose temporal reasoning is known to be weak.</w:t>
      </w:r>
      <w:r>
        <w:rPr>
          <w:vertAlign w:val="superscript"/>
        </w:rPr>
        <w:t xml:space="preserve">[41]</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[42,43]</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[44]</w:t>
      </w:r>
      <w:r>
        <w:t xml:space="preserve"> </w:t>
      </w:r>
      <w:r>
        <w:t xml:space="preserve">while deterministic reasoning resolves times and due dates</w:t>
      </w:r>
      <w:r>
        <w:rPr>
          <w:vertAlign w:val="superscript"/>
        </w:rPr>
        <w:t xml:space="preserve">[45,46,47,48]</w:t>
      </w:r>
      <w:r>
        <w:t xml:space="preserve"> </w:t>
      </w:r>
      <w:r>
        <w:t xml:space="preserve">and selective prediction routes uncertain cases to a clinician. The requirements are invariants: every acted-upon record traces to a source span, speaker, and encounter;</w:t>
      </w:r>
      <w:r>
        <w:rPr>
          <w:vertAlign w:val="superscript"/>
        </w:rPr>
        <w:t xml:space="preserve">[49]</w:t>
      </w:r>
      <w:r>
        <w:t xml:space="preserve"> </w:t>
      </w:r>
      <w:r>
        <w:t xml:space="preserve">deterministic semantics are computed, not generated; the system may abstain; higher-consequence actions receive tighter human review;</w:t>
      </w:r>
      <w:r>
        <w:rPr>
          <w:vertAlign w:val="superscript"/>
        </w:rPr>
        <w:t xml:space="preserve">[50]</w:t>
      </w:r>
      <w:r>
        <w:t xml:space="preserve"> </w:t>
      </w:r>
      <w:r>
        <w:t xml:space="preserve">an immutable trace links communication to action for audit; and extracted content stays distinct from inferred. Human confirmation is the default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third-layer outputs can drive clinical action, they should be evaluated on</w:t>
      </w:r>
      <w:r>
        <w:t xml:space="preserve"> </w:t>
      </w:r>
      <w:r>
        <w:rPr>
          <w:i/>
          <w:iCs/>
        </w:rPr>
        <w:t xml:space="preserve">executable correctness</w:t>
      </w:r>
      <w:r>
        <w:t xml:space="preserve"> </w:t>
      </w:r>
      <w:r>
        <w:t xml:space="preserve">rather than text overlap. We propose an evaluation framework for ACR recovery with measures reported separately: action detection; argument extraction; action–time, condition, and actor linking; temporal-normalization error; whole-record exact match; unsupported- and omitted-action rates; calibration and selective-risk behavior; and source-provenance accuracy. These assess ACR recovery; loop-closure outcome, a downstream endpoint shaped by workflow rather than recovery correctness, is reported separately. This framework, not any single score, is the intended contribution.</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[51]</w:t>
      </w:r>
      <w:r>
        <w:t xml:space="preserve"> </w:t>
      </w:r>
      <w:r>
        <w:t xml:space="preserve">On the action–time pairing the executable representation requires, the hybrid pipeline substantially outperforms general-purpose language models, which recognize actions but bind them to times unreliably. This is a controlled feasibility demonstration for one narrow subproblem, not evidence for the framework, whose value rests on its constructs.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distinguishing patient from clinician intent, and separating who spoke from who is responsible for acting.</w:t>
      </w:r>
      <w:r>
        <w:t xml:space="preserve"> </w:t>
      </w:r>
      <w:r>
        <w:rPr>
          <w:b/>
          <w:bCs/>
        </w:rPr>
        <w:t xml:space="preserve">Evaluation:</w:t>
      </w:r>
      <w:r>
        <w:t xml:space="preserve"> </w:t>
      </w:r>
      <w:r>
        <w:t xml:space="preserve">authentic-data benchmarks, the framework of Section 7 across tasks, and cross-institution and cross-language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[23]</w:t>
      </w:r>
      <w:r>
        <w:t xml:space="preserve"> </w:t>
      </w:r>
      <w:r>
        <w:t xml:space="preserve">review-queue design, regulatory classification, and whether closed-loop operation improves outcomes.</w:t>
      </w:r>
    </w:p>
    <w:p>
      <w:pPr>
        <w:pStyle w:val="BodyText"/>
        <w:jc w:val="both"/>
        <w:keepNext w:val="0"/>
        <w:keepLines w:val="0"/>
        <w:widowControl w:val="1"/>
      </w:pPr>
      <w:r>
        <w:t xml:space="preserve">Moving from synthetic corpora to de-identified real-world notes across languages and documentation is the central empirical risk, and safe deployment presupposes the invariants of Section 6. The proposal makes testable predictions: machine-actionable use of FHIR workflow resources should grow relative to free-text follow-up; evaluation should shift toward executable-correctness measures; reliable systems should expose source-linked, auditable records with selective review; and ambient documentation should extend from notes to tasks and orders.</w:t>
      </w:r>
      <w:r>
        <w:rPr>
          <w:vertAlign w:val="superscript"/>
        </w:rPr>
        <w:t xml:space="preserve">[30,52,53]</w:t>
      </w:r>
      <w:r>
        <w:t xml:space="preserve"> </w:t>
      </w:r>
      <w:r>
        <w:t xml:space="preserve">More decisively, two independent claims are falsifiable. The ACR representation is redundant if direct mapping into existing workflow standards, with generic recovery metadata, captures the required action, actor, temporal, conditional, dependency, provenance, and uncertainty semantics without ACR-specific distinctions. The evaluation framework is redundant if standard extraction metrics discriminate operationally unsafe outputs as well as the executable-correctness measures across task classes.</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and its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This article is a conceptual Perspective; no new data were generated or analyzed, and it introduces no new datasets. The illustrative feasibility results summarized in Section 7 are drawn from a companion study;</w:t>
      </w:r>
      <w:r>
        <w:rPr>
          <w:vertAlign w:val="superscript"/>
        </w:rPr>
        <w:t xml:space="preserve">[51]</w:t>
      </w:r>
      <w:r>
        <w:t xml:space="preserve"> </w:t>
      </w:r>
      <w:r>
        <w:t xml:space="preserve">the controlled benchmark and evaluation described there, including its own data-availability terms, are reported in that study, and no data were newly collected for the present article. The constructs proposed here, the Actionable Clinical Record schema (Section 5) and the executable-correctness evaluation framework (Section 7), are fully specified in the text and require no separate data deposit. No custom code was produced for this article.</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Kwan JL, Singh H. Assigning responsibility to close the loop on radiology test results.</w:t>
      </w:r>
      <w:r>
        <w:t xml:space="preserve"> </w:t>
      </w:r>
      <w:r>
        <w:rPr>
          <w:i/>
          <w:iCs/>
        </w:rPr>
        <w:t xml:space="preserve">Diagnosis (Berl)</w:t>
      </w:r>
      <w:r>
        <w:t xml:space="preserve"> </w:t>
      </w:r>
      <w:r>
        <w:t xml:space="preserve">2017;4(3):173–177. doi:10.1515/dx-2017-0019.</w:t>
      </w:r>
    </w:p>
    <w:p>
      <w:pPr>
        <w:pStyle w:val="ReferenceEntry"/>
        <w:spacing w:after="100"/>
        <w:ind w:left="475" w:hanging="475"/>
        <w:jc w:val="left"/>
        <w:keepNext w:val="0"/>
        <w:keepLines w:val="0"/>
        <w:widowControl w:val="1"/>
      </w:pPr>
      <w:r>
        <w:rPr>
          <w:rFonts w:ascii="Georgia" w:hAnsi="Georgia"/>
          <w:sz w:val="20"/>
        </w:rPr>
        <w:t xml:space="preserve">6.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7.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8. </w:t>
      </w:r>
      <w:r>
        <w:t xml:space="preserve">Wright B, Lennox A, Graber ML, Bragge P.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9. </w:t>
      </w:r>
      <w:r>
        <w:t xml:space="preserve">Duan-Porter W, Ullman K, Majeski B, Miake-Lye I, Diem S, Wilt TJ.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10.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11.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12.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13.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14.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15.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16.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17.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18.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19.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20.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21.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22.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23. </w:t>
      </w:r>
      <w:r>
        <w:t xml:space="preserve">HL7 FHIR Release 5: Workflow. Health Level Seven International; 2023.</w:t>
      </w:r>
      <w:r>
        <w:t xml:space="preserve"> </w:t>
      </w:r>
      <w:hyperlink r:id="rId36">
        <w:r>
          <w:rPr>
            <w:rStyle w:val="Hyperlink"/>
          </w:rPr>
          <w:t xml:space="preserve">https://hl7.org/fhir/R5/workflow.html</w:t>
        </w:r>
      </w:hyperlink>
      <w:r>
        <w:t xml:space="preserve"> </w:t>
      </w:r>
      <w:r>
        <w:t xml:space="preserve">(accessed 9 Aug 2026).</w:t>
      </w:r>
    </w:p>
    <w:p>
      <w:pPr>
        <w:pStyle w:val="ReferenceEntry"/>
        <w:spacing w:after="100"/>
        <w:ind w:left="475" w:hanging="475"/>
        <w:jc w:val="left"/>
        <w:keepNext w:val="0"/>
        <w:keepLines w:val="0"/>
        <w:widowControl w:val="1"/>
      </w:pPr>
      <w:r>
        <w:rPr>
          <w:rFonts w:ascii="Georgia" w:hAnsi="Georgia"/>
          <w:sz w:val="20"/>
        </w:rPr>
        <w:t xml:space="preserve">24.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25.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26.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27.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28.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29. </w:t>
      </w:r>
      <w:r>
        <w:t xml:space="preserve">Ben Abacha A,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30.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31.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32. </w:t>
      </w:r>
      <w:r>
        <w:t xml:space="preserve">Yetisgen-Yildiz M, Gunn ML, Xia F, Payne TH.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33.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34. </w:t>
      </w:r>
      <w:r>
        <w:t xml:space="preserve">Henry S, Buchan K, Filannino M, Stubbs A, Uzuner O. 2018 n2c2 shared task on adverse drug events and medication extraction in electronic health records.</w:t>
      </w:r>
      <w:r>
        <w:t xml:space="preserve"> </w:t>
      </w:r>
      <w:r>
        <w:rPr>
          <w:i/>
          <w:iCs/>
        </w:rPr>
        <w:t xml:space="preserve">J Am Med Inform Assoc</w:t>
      </w:r>
      <w:r>
        <w:t xml:space="preserve"> </w:t>
      </w:r>
      <w:r>
        <w:t xml:space="preserve">2020;27(1):3–12. doi:10.1093/jamia/ocz166.</w:t>
      </w:r>
    </w:p>
    <w:p>
      <w:pPr>
        <w:pStyle w:val="ReferenceEntry"/>
        <w:spacing w:after="100"/>
        <w:ind w:left="475" w:hanging="475"/>
        <w:jc w:val="left"/>
        <w:keepNext w:val="0"/>
        <w:keepLines w:val="0"/>
        <w:widowControl w:val="1"/>
      </w:pPr>
      <w:r>
        <w:rPr>
          <w:rFonts w:ascii="Georgia" w:hAnsi="Georgia"/>
          <w:sz w:val="20"/>
        </w:rPr>
        <w:t xml:space="preserve">35. </w:t>
      </w:r>
      <w:r>
        <w:t xml:space="preserve">Agrawal M, Hegselmann S, Lang H, Kim Y, Sontag D. Large language models are few-shot clinical information extractors.</w:t>
      </w:r>
      <w:r>
        <w:t xml:space="preserve"> </w:t>
      </w:r>
      <w:r>
        <w:rPr>
          <w:i/>
          <w:iCs/>
        </w:rPr>
        <w:t xml:space="preserve">Proc. EMNLP</w:t>
      </w:r>
      <w:r>
        <w:t xml:space="preserve"> </w:t>
      </w:r>
      <w:r>
        <w:t xml:space="preserve">2022:1998–2022. doi:10.18653/v1/2022.emnlp-main.130.</w:t>
      </w:r>
    </w:p>
    <w:p>
      <w:pPr>
        <w:pStyle w:val="ReferenceEntry"/>
        <w:spacing w:after="100"/>
        <w:ind w:left="475" w:hanging="475"/>
        <w:jc w:val="left"/>
        <w:keepNext w:val="0"/>
        <w:keepLines w:val="0"/>
        <w:widowControl w:val="1"/>
      </w:pPr>
      <w:r>
        <w:rPr>
          <w:rFonts w:ascii="Georgia" w:hAnsi="Georgia"/>
          <w:sz w:val="20"/>
        </w:rPr>
        <w:t xml:space="preserve">36. </w:t>
      </w:r>
      <w:r>
        <w:t xml:space="preserve">Bethard S, Savova G, Palmer M, Pustejovsky J. SemEval-2017 Task 12: Clinical TempEval.</w:t>
      </w:r>
      <w:r>
        <w:t xml:space="preserve"> </w:t>
      </w:r>
      <w:r>
        <w:rPr>
          <w:i/>
          <w:iCs/>
        </w:rPr>
        <w:t xml:space="preserve">Proc. 11th Int Workshop Semantic Eval (SemEval-2017)</w:t>
      </w:r>
      <w:r>
        <w:t xml:space="preserve"> </w:t>
      </w:r>
      <w:r>
        <w:t xml:space="preserve">2017:565–572. doi:10.18653/v1/S17-2093.</w:t>
      </w:r>
    </w:p>
    <w:p>
      <w:pPr>
        <w:pStyle w:val="ReferenceEntry"/>
        <w:spacing w:after="100"/>
        <w:ind w:left="475" w:hanging="475"/>
        <w:jc w:val="left"/>
        <w:keepNext w:val="0"/>
        <w:keepLines w:val="0"/>
        <w:widowControl w:val="1"/>
      </w:pPr>
      <w:r>
        <w:rPr>
          <w:rFonts w:ascii="Georgia" w:hAnsi="Georgia"/>
          <w:sz w:val="20"/>
        </w:rPr>
        <w:t xml:space="preserve">37. </w:t>
      </w:r>
      <w:r>
        <w:t xml:space="preserve">Mullenbach J, Pruksachatkun Y, Adler S, et al. CLIP: A Dataset for Extracting Action Items for Physicians from Hospital Discharge Notes.</w:t>
      </w:r>
      <w:r>
        <w:t xml:space="preserve"> </w:t>
      </w:r>
      <w:r>
        <w:rPr>
          <w:i/>
          <w:iCs/>
        </w:rPr>
        <w:t xml:space="preserve">Proc. 59th Annu Meet Assoc Comput Linguist (ACL-IJCNLP)</w:t>
      </w:r>
      <w:r>
        <w:t xml:space="preserve"> </w:t>
      </w:r>
      <w:r>
        <w:t xml:space="preserve">2021:1365–1378. doi:10.18653/v1/2021.acl-long.109.</w:t>
      </w:r>
    </w:p>
    <w:p>
      <w:pPr>
        <w:pStyle w:val="ReferenceEntry"/>
        <w:spacing w:after="100"/>
        <w:ind w:left="475" w:hanging="475"/>
        <w:jc w:val="left"/>
        <w:keepNext w:val="0"/>
        <w:keepLines w:val="0"/>
        <w:widowControl w:val="1"/>
      </w:pPr>
      <w:r>
        <w:rPr>
          <w:rFonts w:ascii="Georgia" w:hAnsi="Georgia"/>
          <w:sz w:val="20"/>
        </w:rPr>
        <w:t xml:space="preserve">38. </w:t>
      </w:r>
      <w:r>
        <w:t xml:space="preserve">Elgaar M, Cheng J, Vakil N, Amiri H, Celi LA. MedDec: A Dataset for Extracting Medical Decisions from Discharge Summaries.</w:t>
      </w:r>
      <w:r>
        <w:t xml:space="preserve"> </w:t>
      </w:r>
      <w:r>
        <w:rPr>
          <w:i/>
          <w:iCs/>
        </w:rPr>
        <w:t xml:space="preserve">Findings Assoc Comput Linguist: ACL 2024</w:t>
      </w:r>
      <w:r>
        <w:t xml:space="preserve"> </w:t>
      </w:r>
      <w:r>
        <w:t xml:space="preserve">2024:16442–16455. doi:10.18653/v1/2024.findings-acl.975.</w:t>
      </w:r>
    </w:p>
    <w:p>
      <w:pPr>
        <w:pStyle w:val="ReferenceEntry"/>
        <w:spacing w:after="100"/>
        <w:ind w:left="475" w:hanging="475"/>
        <w:jc w:val="left"/>
        <w:keepNext w:val="0"/>
        <w:keepLines w:val="0"/>
        <w:widowControl w:val="1"/>
      </w:pPr>
      <w:r>
        <w:rPr>
          <w:rFonts w:ascii="Georgia" w:hAnsi="Georgia"/>
          <w:sz w:val="20"/>
        </w:rPr>
        <w:t xml:space="preserve">39.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40.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41. </w:t>
      </w:r>
      <w:r>
        <w:t xml:space="preserve">Chu Z, Chen J, Chen Q, et al. TimeBench: A Comprehensive Evaluation of Temporal Reasoning Abilities in Large Language Models.</w:t>
      </w:r>
      <w:r>
        <w:t xml:space="preserve"> </w:t>
      </w:r>
      <w:r>
        <w:rPr>
          <w:i/>
          <w:iCs/>
        </w:rPr>
        <w:t xml:space="preserve">Proc. ACL</w:t>
      </w:r>
      <w:r>
        <w:t xml:space="preserve"> </w:t>
      </w:r>
      <w:r>
        <w:t xml:space="preserve">2024. arXiv:2311.17667.</w:t>
      </w:r>
    </w:p>
    <w:p>
      <w:pPr>
        <w:pStyle w:val="ReferenceEntry"/>
        <w:spacing w:after="100"/>
        <w:ind w:left="475" w:hanging="475"/>
        <w:jc w:val="left"/>
        <w:keepNext w:val="0"/>
        <w:keepLines w:val="0"/>
        <w:widowControl w:val="1"/>
      </w:pPr>
      <w:r>
        <w:rPr>
          <w:rFonts w:ascii="Georgia" w:hAnsi="Georgia"/>
          <w:sz w:val="20"/>
        </w:rPr>
        <w:t xml:space="preserve">42.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43. </w:t>
      </w:r>
      <w:r>
        <w:t xml:space="preserve">Prenosil GA, Weitzel TK, Bello SC, et al. Neuro-symbolic AI for auditable cognitive information extraction from medical reports.</w:t>
      </w:r>
      <w:r>
        <w:t xml:space="preserve"> </w:t>
      </w:r>
      <w:r>
        <w:rPr>
          <w:i/>
          <w:iCs/>
        </w:rPr>
        <w:t xml:space="preserve">Commun Med</w:t>
      </w:r>
      <w:r>
        <w:t xml:space="preserve"> </w:t>
      </w:r>
      <w:r>
        <w:t xml:space="preserve">2025;5(1):491. doi:10.1038/s43856-025-01194-x.</w:t>
      </w:r>
    </w:p>
    <w:p>
      <w:pPr>
        <w:pStyle w:val="ReferenceEntry"/>
        <w:spacing w:after="100"/>
        <w:ind w:left="475" w:hanging="475"/>
        <w:jc w:val="left"/>
        <w:keepNext w:val="0"/>
        <w:keepLines w:val="0"/>
        <w:widowControl w:val="1"/>
      </w:pPr>
      <w:r>
        <w:rPr>
          <w:rFonts w:ascii="Georgia" w:hAnsi="Georgia"/>
          <w:sz w:val="20"/>
        </w:rPr>
        <w:t xml:space="preserve">44.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45.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46.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47.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48. </w:t>
      </w:r>
      <w:r>
        <w:t xml:space="preserve">Knez T, Žitnik S. Multimodal learning for temporal relation extraction in clinical texts.</w:t>
      </w:r>
      <w:r>
        <w:t xml:space="preserve"> </w:t>
      </w:r>
      <w:r>
        <w:rPr>
          <w:i/>
          <w:iCs/>
        </w:rPr>
        <w:t xml:space="preserve">J Am Med Inform Assoc</w:t>
      </w:r>
      <w:r>
        <w:t xml:space="preserve"> </w:t>
      </w:r>
      <w:r>
        <w:t xml:space="preserve">2024;31(6):1380–1387. doi:10.1093/jamia/ocae059.</w:t>
      </w:r>
    </w:p>
    <w:p>
      <w:pPr>
        <w:pStyle w:val="ReferenceEntry"/>
        <w:spacing w:after="100"/>
        <w:ind w:left="475" w:hanging="475"/>
        <w:jc w:val="left"/>
        <w:keepNext w:val="0"/>
        <w:keepLines w:val="0"/>
        <w:widowControl w:val="1"/>
      </w:pPr>
      <w:r>
        <w:rPr>
          <w:rFonts w:ascii="Georgia" w:hAnsi="Georgia"/>
          <w:sz w:val="20"/>
        </w:rPr>
        <w:t xml:space="preserve">49. </w:t>
      </w:r>
      <w:r>
        <w:t xml:space="preserve">Zolensky A, Jang KJ, Sabin J, et al. Speaker Role Identification in Clinical Conversations.</w:t>
      </w:r>
      <w:r>
        <w:t xml:space="preserve"> </w:t>
      </w:r>
      <w:r>
        <w:rPr>
          <w:i/>
          <w:iCs/>
        </w:rPr>
        <w:t xml:space="preserve">Pac Symp Biocomput</w:t>
      </w:r>
      <w:r>
        <w:t xml:space="preserve"> </w:t>
      </w:r>
      <w:r>
        <w:t xml:space="preserve">2026;31:144–157. doi:10.1101/2025.08.14.25332837.</w:t>
      </w:r>
    </w:p>
    <w:p>
      <w:pPr>
        <w:pStyle w:val="ReferenceEntry"/>
        <w:spacing w:after="100"/>
        <w:ind w:left="475" w:hanging="475"/>
        <w:jc w:val="left"/>
        <w:keepNext w:val="0"/>
        <w:keepLines w:val="0"/>
        <w:widowControl w:val="1"/>
      </w:pPr>
      <w:r>
        <w:rPr>
          <w:rFonts w:ascii="Georgia" w:hAnsi="Georgia"/>
          <w:sz w:val="20"/>
        </w:rPr>
        <w:t xml:space="preserve">50.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51.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52.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53. </w:t>
      </w:r>
      <w:r>
        <w:t xml:space="preserve">Artsi Y, Sorin V, Glicksberg BS, Korfiatis P, Nadkarni GN, Klang E.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7"/>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36" Type="http://schemas.openxmlformats.org/officeDocument/2006/relationships/hyperlink" Target="https://hl7.org/fhir/R5/workflow.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hl7.org/fhir/R5/workflow.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2026-08-09T11:56:38Z</dcterms:created>
  <dcterms:modified xsi:type="dcterms:W3CDTF">2026-08-09T11:56:38Z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