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IT is usually organized by the technologies it adopts. We instead organize it by the unit of information a system makes computable, and describe a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intent), and formalize the Actionable Clinical Record (ACR) as the third layer’s atomic object.</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illustrates tractability for one narrow subproblem.</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readiness ladder, and an executable-correctness evaluation framework are reusable constructs for subsequent work to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is best analyzed through the computational objects it supports rather than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owner outside the computable substrate. The cost is measurable: test-result follow-up often fails,</w:t>
      </w:r>
      <w:r>
        <w:rPr>
          <w:vertAlign w:val="superscript"/>
        </w:rPr>
        <w:t xml:space="preserve">[3]</w:t>
      </w:r>
      <w:r>
        <w:t xml:space="preserve"> </w:t>
      </w:r>
      <w:r>
        <w:t xml:space="preserve">only about one-third of specialist referrals reach a completed visit,</w:t>
      </w:r>
      <w:r>
        <w:rPr>
          <w:vertAlign w:val="superscript"/>
        </w:rPr>
        <w:t xml:space="preserve">[4]</w:t>
      </w:r>
      <w:r>
        <w:t xml:space="preserve"> </w:t>
      </w:r>
      <w:r>
        <w:t xml:space="preserve">and such loop-closure failures, rooted in ambiguous responsibility and care-coordination breakdowns, drive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layer criteria and a three-layer organization (Section 2), the Actionable Clinical Record (ACR) as the third layer’s atomic object (Section 5), an executable-correctness evaluation framework and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w:t>
      </w:r>
      <w:r>
        <w:rPr>
          <w:vertAlign w:val="superscript"/>
        </w:rPr>
        <w:t xml:space="preserve">[1,2]</w:t>
      </w:r>
      <w:r>
        <w:t xml:space="preserve"> </w:t>
      </w:r>
      <w:r>
        <w:t xml:space="preserve">whereas the third is a</w:t>
      </w:r>
      <w:r>
        <w:t xml:space="preserve"> </w:t>
      </w:r>
      <w:r>
        <w:rPr>
          <w:i/>
          <w:iCs/>
        </w:rPr>
        <w:t xml:space="preserve">prospective hypothesis</w:t>
      </w:r>
      <w:r>
        <w:t xml:space="preserve">, 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pchAOg/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represent and operationalize intended process once it has been structured, but none recovers it from unstructured communication; that recovery, and its conversion into executable form,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using one terminology throughout: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to a layer-2 coded concept where possible, and</w:t>
      </w:r>
      <w:r>
        <w:t xml:space="preserve"> </w:t>
      </w:r>
      <w:r>
        <w:rPr>
          <w:i/>
          <w:iCs/>
        </w:rPr>
        <w:t xml:space="preserve">dependency</w:t>
      </w:r>
      <w:r>
        <w:t xml:space="preserve"> </w:t>
      </w:r>
      <w:r>
        <w:t xml:space="preserve">encodes ordering.</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pchAOg/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that “complete blood count” appears in a note belongs to layer 2; extracting “repeat complete blood count” is a partial step; linking it to “two weeks” and a responsible actor makes it actionable; and resolving a computed due date and a workflow object makes it executable. Separately, the ACR’s</w:t>
      </w:r>
      <w:r>
        <w:t xml:space="preserve"> </w:t>
      </w:r>
      <w:r>
        <w:rPr>
          <w:i/>
          <w:iCs/>
        </w:rPr>
        <w:t xml:space="preserve">status</w:t>
      </w:r>
      <w:r>
        <w:t xml:space="preserve"> </w:t>
      </w:r>
      <w:r>
        <w:t xml:space="preserve">attribute tracks the workflow lifecycle (</w:t>
      </w:r>
      <w:r>
        <w:rPr>
          <w:i/>
          <w:iCs/>
        </w:rPr>
        <w:t xml:space="preserve">monitored</w:t>
      </w:r>
      <w:r>
        <w:t xml:space="preserve">, then</w:t>
      </w:r>
      <w:r>
        <w:t xml:space="preserve"> </w:t>
      </w:r>
      <w:r>
        <w:rPr>
          <w:i/>
          <w:iCs/>
        </w:rPr>
        <w:t xml:space="preserve">closed</w:t>
      </w:r>
      <w:r>
        <w:t xml:space="preserve">) once an action enters operation, when detecting completion or escalation closes the loop.</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messages, calls, transcripts); its output is a set of ACRs that maps onto infrastructure the field already has.</w:t>
      </w:r>
      <w:r>
        <w:rPr>
          <w:vertAlign w:val="superscript"/>
        </w:rPr>
        <w:t xml:space="preserve">[16]</w:t>
      </w:r>
      <w:r>
        <w:t xml:space="preserve"> </w:t>
      </w:r>
      <w:r>
        <w:t xml:space="preserve">The mapping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w:t>
      </w:r>
      <w:r>
        <w:t xml:space="preserve"> </w:t>
      </w:r>
      <w:r>
        <w:rPr>
          <w:i/>
          <w:iCs/>
        </w:rPr>
        <w:t xml:space="preserve">actor</w:t>
      </w:r>
      <w:r>
        <w:t xml:space="preserve"> </w:t>
      </w:r>
      <w:r>
        <w:t xml:space="preserve">the owner,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properties of the recovery process rather than native fields of the target resource. Existing systems execute such instructions once structured; the third layer recovers them from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pchAOg/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handoff commitments, referrals, pending-result responsibility, and patient self-management. Ambient documentation and recent shared tasks extract structured orders directly from clinical conversations,</w:t>
      </w:r>
      <w:r>
        <w:rPr>
          <w:vertAlign w:val="superscript"/>
        </w:rPr>
        <w:t xml:space="preserve">[27,28]</w:t>
      </w:r>
      <w:r>
        <w:t xml:space="preserve"> </w:t>
      </w:r>
      <w:r>
        <w:t xml:space="preserve">indicating these channels carry clinically consequential actionable content.</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follow-up recommendations;</w:t>
      </w:r>
      <w:r>
        <w:rPr>
          <w:vertAlign w:val="superscript"/>
        </w:rPr>
        <w:t xml:space="preserve">[18,19,29,30,31]</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capturing what a clinician instructed for this patient rather than what should generally happen.</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requirements the third layer imposes: auditability, verifiable temporal correctness, and a calibrated signal of when to defer are properties of the output contract, not of model capability. General-purpose models interpret clinical language well but can produce unreliable or unsupported outputs;</w:t>
      </w:r>
      <w:r>
        <w:rPr>
          <w:vertAlign w:val="superscript"/>
        </w:rPr>
        <w:t xml:space="preserve">[32,33]</w:t>
      </w:r>
      <w:r>
        <w:t xml:space="preserve"> </w:t>
      </w:r>
      <w:r>
        <w:t xml:space="preserve">this matters most where the layer is most demanding, in binding an action to its time and normalizing it into an executable schedule without omission or fabrication.</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[34]</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[35]</w:t>
      </w:r>
      <w:r>
        <w:t xml:space="preserve"> </w:t>
      </w:r>
      <w:r>
        <w:t xml:space="preserve">while deterministic reasoning resolves times and due dates</w:t>
      </w:r>
      <w:r>
        <w:rPr>
          <w:vertAlign w:val="superscript"/>
        </w:rPr>
        <w:t xml:space="preserve">[36,37,38]</w:t>
      </w:r>
      <w:r>
        <w:t xml:space="preserve"> </w:t>
      </w:r>
      <w:r>
        <w:t xml:space="preserve">and selective prediction routes uncertain cases to a clinician.</w:t>
      </w:r>
      <w:r>
        <w:rPr>
          <w:vertAlign w:val="superscript"/>
        </w:rPr>
        <w:t xml:space="preserve">[39]</w:t>
      </w:r>
      <w:r>
        <w:t xml:space="preserve"> </w:t>
      </w:r>
      <w:r>
        <w:t xml:space="preserve">The requirements can be stated as invariants: every acted-upon record traces to a source span, speaker, and encounter; deterministic semantics are computed, not generated; each inferred attribute carries a calibrated confidence; the system may abstain; higher-consequence actions receive tighter human review;</w:t>
      </w:r>
      <w:r>
        <w:rPr>
          <w:vertAlign w:val="superscript"/>
        </w:rPr>
        <w:t xml:space="preserve">[39]</w:t>
      </w:r>
      <w:r>
        <w:t xml:space="preserve"> </w:t>
      </w:r>
      <w:r>
        <w:t xml:space="preserve">an immutable trace links communication to action for audit;</w:t>
      </w:r>
      <w:r>
        <w:rPr>
          <w:vertAlign w:val="superscript"/>
        </w:rPr>
        <w:t xml:space="preserve">[40]</w:t>
      </w:r>
      <w:r>
        <w:t xml:space="preserve"> </w:t>
      </w:r>
      <w:r>
        <w:t xml:space="preserve">and extracted content stays distinct from inferred. Reliability, not scale, governs, and human confirmation is the default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and source-provenance accuracy. These assess ACR recovery; loop-closure outcome, a downstream operational endpoint shaped by implementation and workflow rather than recovery correctness, is reported separately.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[41]</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whose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framework of Section 7 across tasks, and cross-institution and cross-language generalization.</w:t>
      </w:r>
      <w:r>
        <w:t xml:space="preserve"> </w:t>
      </w:r>
      <w:r>
        <w:rPr>
          <w:b/>
          <w:bCs/>
        </w:rPr>
        <w:t xml:space="preserve">Integration and impact:</w:t>
      </w:r>
      <w:r>
        <w:t xml:space="preserve"> </w:t>
      </w:r>
      <w:r>
        <w:t xml:space="preserve">ACR-to-FHIR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and ambient documentation should extend from notes to tasks and orders.</w:t>
      </w:r>
      <w:r>
        <w:rPr>
          <w:vertAlign w:val="superscript"/>
        </w:rPr>
        <w:t xml:space="preserve">[27,42,43]</w:t>
      </w:r>
      <w:r>
        <w:t xml:space="preserve"> </w:t>
      </w:r>
      <w:r>
        <w:t xml:space="preserve">More decisively, the proposal fails if standard representations and metrics suffice to represent and evaluate communication-derived executable intent without the ACR’s distinctions.</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verifiable representations of intended action, formalized as the Actionable Clinical Record upstream of existing workflow infrastructure. We offer the framework, the ACR, its readiness ladder, and the evaluation framework as reusable constructs to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This article is a conceptual Perspective; no new data were generated or analyzed, and it introduces no new datasets. The illustrative feasibility results summarized in Section 7 are drawn from a companion study;</w:t>
      </w:r>
      <w:r>
        <w:rPr>
          <w:vertAlign w:val="superscript"/>
        </w:rPr>
        <w:t xml:space="preserve">[41]</w:t>
      </w:r>
      <w:r>
        <w:t xml:space="preserve"> </w:t>
      </w:r>
      <w:r>
        <w:t xml:space="preserve">the controlled benchmark and evaluation described there, including its own data-availability terms, are reported in that study, and no data were newly collected for the present article. The constructs proposed here, the Actionable Clinical Record schema (Section 5) and the executable-correctness evaluation framework (Section 8), are fully specified in the text and require no separate data deposit. No custom code was produced for this article.</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33.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34.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35.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36.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37.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38.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39.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40.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42.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43.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2026-08-08T18:54:15Z</dcterms:created>
  <dcterms:modified xsi:type="dcterms:W3CDTF">2026-08-08T18:54:15Z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