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[6,7,8,9]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[10]</w:t>
      </w:r>
      <w:r>
        <w:t xml:space="preserve"> </w:t>
      </w:r>
      <w:r>
        <w:t xml:space="preserve">and to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vfo6aO/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dxa" w:w="7918"/>
        <w:jc w:val="center"/>
        <w:tblLayout w:type="fixed"/>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44"/>
        <w:gridCol w:w="1900"/>
        <w:gridCol w:w="1857"/>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drove rapid nationwide EHR adoption,</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one route by which narrative facts entered the semantic layer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[23]</w:t>
      </w:r>
      <w:r>
        <w:t xml:space="preserve"> </w:t>
      </w:r>
      <w:r>
        <w:t xml:space="preserve">computer-interpretable guidelines and care-pathway models encode executable protocols;</w:t>
      </w:r>
      <w:r>
        <w:rPr>
          <w:vertAlign w:val="superscript"/>
        </w:rPr>
        <w:t xml:space="preserve">[24,25,26]</w:t>
      </w:r>
      <w:r>
        <w:t xml:space="preserve"> </w:t>
      </w:r>
      <w:r>
        <w:t xml:space="preserve">and process mining reconstructs pathways from event logs.</w:t>
      </w:r>
      <w:r>
        <w:rPr>
          <w:vertAlign w:val="superscript"/>
        </w:rPr>
        <w:t xml:space="preserve">[27,28]</w:t>
      </w:r>
      <w:r>
        <w:t xml:space="preserve"> </w:t>
      </w:r>
      <w:r>
        <w:t xml:space="preserve">These paradigms are complementary and often provide infrastructure to operationalize the proposed layer’s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workflow paradigms represent and operationalize intended process once it has been structured, but they do not themselves specify recovery from unstructured communication; the third layer concerns that recovery and its conversion into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and</w:t>
      </w:r>
      <w:r>
        <w:t xml:space="preserve"> </w:t>
      </w:r>
      <w:r>
        <w:rPr>
          <w:i/>
          <w:iCs/>
        </w:rPr>
        <w:t xml:space="preserve">confidence</w:t>
      </w:r>
      <w:r>
        <w:t xml:space="preserve">, when inference is used, records calibrated per-attribute recovery-system uncertainty.</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relative, event-anchored,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routes uncertain inferred attributes to review.</w:t>
      </w:r>
      <w:r>
        <w:t xml:space="preserve"> </w:t>
      </w:r>
      <w:r>
        <w:rPr>
          <w:i/>
          <w:iCs/>
        </w:rPr>
        <w:t xml:space="preserve">Target</w:t>
      </w:r>
      <w:r>
        <w:t xml:space="preserve"> </w:t>
      </w:r>
      <w:r>
        <w:t xml:space="preserve">links to a layer-2 coded concept,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vfo6aO/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adding “two weeks” and a responsible actor makes it actionable; resolving a due date and a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[17,23]</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into</w:t>
      </w:r>
      <w:r>
        <w:t xml:space="preserve"> </w:t>
      </w:r>
      <w:r>
        <w:rPr>
          <w:i/>
          <w:iCs/>
        </w:rPr>
        <w:t xml:space="preserve">basedOn</w:t>
      </w:r>
      <w:r>
        <w:t xml:space="preserve">/</w:t>
      </w:r>
      <w:r>
        <w:rPr>
          <w:i/>
          <w:iCs/>
        </w:rPr>
        <w:t xml:space="preserve">partOf</w:t>
      </w:r>
      <w:r>
        <w:t xml:space="preserve"> </w:t>
      </w:r>
      <w:r>
        <w:t xml:space="preserve">links.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 Existing systems execute such instructions once structured; the third layer recovers them from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vfo6aO/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a well-documented case, but it is one of a broader class of communication-derived process objects sharing the ACR representation: conditional escalation, medication transitions, handoff commitments, referrals, pending-result responsibility, and patient self-management. Recent shared tasks extract structured orders directly from clinical conversations,</w:t>
      </w:r>
      <w:r>
        <w:rPr>
          <w:vertAlign w:val="superscript"/>
        </w:rPr>
        <w:t xml:space="preserve">[29]</w:t>
      </w:r>
      <w:r>
        <w:t xml:space="preserve"> </w:t>
      </w:r>
      <w:r>
        <w:t xml:space="preserve">while ambient documentation shows these conversations are already captured.</w:t>
      </w:r>
      <w:r>
        <w:rPr>
          <w:vertAlign w:val="superscript"/>
        </w:rPr>
        <w:t xml:space="preserve">[30]</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[19,20,31,32,33,34,35,36]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[29]</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[24,25]</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third layer’s requirements: auditability, verifiable temporal correctness, and a calibrated signal of when to defer are properties of the output contract, not of model capability. Large language models show clinical information-extraction and medical-reasoning capability</w:t>
      </w:r>
      <w:r>
        <w:rPr>
          <w:vertAlign w:val="superscript"/>
        </w:rPr>
        <w:t xml:space="preserve">[35,39]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and normalizing it into an executable schedule,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[45,46,47,48]</w:t>
      </w:r>
      <w:r>
        <w:t xml:space="preserve"> </w:t>
      </w:r>
      <w:r>
        <w:t xml:space="preserve">and selective prediction routes uncertain cases to a clinician. The requirements are invariants: every acted-upon record traces to a source span, speaker, and encounter;</w:t>
      </w:r>
      <w:r>
        <w:rPr>
          <w:vertAlign w:val="superscript"/>
        </w:rPr>
        <w:t xml:space="preserve">[49]</w:t>
      </w:r>
      <w:r>
        <w:t xml:space="preserve"> </w:t>
      </w:r>
      <w:r>
        <w:t xml:space="preserve">deterministic semantics are computed, not generated; each inferred attribute carries a calibrated confidence; the system may abstain; higher-consequence actions receive tighter human review;</w:t>
      </w:r>
      <w:r>
        <w:rPr>
          <w:vertAlign w:val="superscript"/>
        </w:rPr>
        <w:t xml:space="preserve">[50]</w:t>
      </w:r>
      <w:r>
        <w:t xml:space="preserve"> </w:t>
      </w:r>
      <w:r>
        <w:t xml:space="preserve">an immutable trace links communication to action for audit;</w:t>
      </w:r>
      <w:r>
        <w:rPr>
          <w:vertAlign w:val="superscript"/>
        </w:rPr>
        <w:t xml:space="preserve">[51]</w:t>
      </w:r>
      <w:r>
        <w:t xml:space="preserve"> </w:t>
      </w:r>
      <w:r>
        <w:t xml:space="preserve">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third-layer outputs can drive clinical action, they should be evaluated on</w:t>
      </w:r>
      <w:r>
        <w:t xml:space="preserve"> </w:t>
      </w:r>
      <w:r>
        <w:rPr>
          <w:i/>
          <w:iCs/>
        </w:rPr>
        <w:t xml:space="preserve">executable correctness</w:t>
      </w:r>
      <w:r>
        <w:t xml:space="preserve"> </w:t>
      </w:r>
      <w:r>
        <w:t xml:space="preserve">rather than text overlap. We propose an evaluation framework for ACR recovery with measures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not any single score, is the contribution others should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[52]</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its constructs.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is the central empirical risk, and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[30,53,54]</w:t>
      </w:r>
      <w:r>
        <w:t xml:space="preserve"> </w:t>
      </w:r>
      <w:r>
        <w:t xml:space="preserve">More decisively, the ACR is redundant if, across communication-derived task classes, direct mapping into existing workflow standards, together with generic recovery metadata, represents the required action, actor, temporal, conditional, dependency, provenance, and uncertainty semantics without ACR-specific distinctions, and standard extraction metrics discriminate operationally unsafe outputs as well as the proposed executable-correctness measures.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[52]</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24.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25.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26.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27.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28.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29.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30.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31.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Pustejovsky J.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Amiri H, Celi LA.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52.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53.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54.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2026-08-09T08:01:24Z</dcterms:created>
  <dcterms:modified xsi:type="dcterms:W3CDTF">2026-08-09T08:01:24Z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