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jc w:val="center"/>
      </w:pPr>
      <w:r>
        <w:rPr>
          <w:rFonts w:ascii="华文楷体" w:hAnsi="华文楷体" w:eastAsia="华文楷体"/>
          <w:b/>
          <w:sz w:val="44"/>
        </w:rPr>
        <w:t>东莞理工学院</w:t>
      </w:r>
    </w:p>
    <w:p>
      <w:pPr>
        <w:spacing w:after="80"/>
        <w:jc w:val="center"/>
      </w:pPr>
      <w:r>
        <w:rPr>
          <w:rFonts w:ascii="华文楷体" w:hAnsi="华文楷体" w:eastAsia="华文楷体"/>
          <w:b/>
          <w:sz w:val="44"/>
        </w:rPr>
        <w:t>台湾工业科技学院</w:t>
      </w:r>
    </w:p>
    <w:p>
      <w:pPr>
        <w:spacing w:after="400"/>
        <w:jc w:val="center"/>
      </w:pPr>
      <w:r>
        <w:rPr>
          <w:rFonts w:ascii="华文楷体" w:hAnsi="华文楷体" w:eastAsia="华文楷体"/>
          <w:b/>
          <w:sz w:val="44"/>
        </w:rPr>
        <w:t>期末报告</w:t>
      </w:r>
    </w:p>
    <w:p>
      <w:pPr>
        <w:spacing w:after="0"/>
      </w:pPr>
      <w:r>
        <w:rPr>
          <w:rFonts w:ascii="宋体" w:hAnsi="宋体" w:eastAsia="宋体"/>
          <w:b w:val="0"/>
          <w:sz w:val="28"/>
        </w:rPr>
      </w:r>
    </w:p>
    <w:p>
      <w:pPr>
        <w:spacing w:after="0"/>
      </w:pPr>
      <w:r>
        <w:rPr>
          <w:rFonts w:ascii="宋体" w:hAnsi="宋体" w:eastAsia="宋体"/>
          <w:b w:val="0"/>
          <w:sz w:val="28"/>
        </w:rPr>
      </w:r>
    </w:p>
    <w:p>
      <w:pPr>
        <w:spacing w:after="0"/>
      </w:pPr>
      <w:r>
        <w:rPr>
          <w:rFonts w:ascii="宋体" w:hAnsi="宋体" w:eastAsia="宋体"/>
          <w:b w:val="0"/>
          <w:sz w:val="28"/>
        </w:rPr>
      </w:r>
    </w:p>
    <w:p>
      <w:pPr>
        <w:spacing w:after="200"/>
        <w:jc w:val="left"/>
      </w:pPr>
      <w:r>
        <w:rPr>
          <w:rFonts w:ascii="宋体" w:hAnsi="宋体" w:eastAsia="宋体"/>
          <w:b w:val="0"/>
          <w:sz w:val="28"/>
        </w:rPr>
        <w:t>指  导  教  师：  时维宁</w:t>
      </w:r>
    </w:p>
    <w:p>
      <w:pPr>
        <w:spacing w:after="200"/>
        <w:jc w:val="left"/>
      </w:pPr>
      <w:r>
        <w:rPr>
          <w:rFonts w:ascii="宋体" w:hAnsi="宋体" w:eastAsia="宋体"/>
          <w:b w:val="0"/>
          <w:sz w:val="28"/>
        </w:rPr>
        <w:t>项  目  名  称：  律动之下 —— 音乐推荐与介绍网站</w:t>
      </w:r>
    </w:p>
    <w:p>
      <w:pPr>
        <w:spacing w:after="200"/>
        <w:jc w:val="left"/>
      </w:pPr>
      <w:r>
        <w:rPr>
          <w:rFonts w:ascii="宋体" w:hAnsi="宋体" w:eastAsia="宋体"/>
          <w:b w:val="0"/>
          <w:sz w:val="28"/>
        </w:rPr>
        <w:t>班        级：  23级 计算机(元宇宙)专业 2班(元计算)</w:t>
      </w:r>
    </w:p>
    <w:p>
      <w:pPr>
        <w:spacing w:after="200"/>
        <w:jc w:val="left"/>
      </w:pPr>
      <w:r>
        <w:rPr>
          <w:rFonts w:ascii="宋体" w:hAnsi="宋体" w:eastAsia="宋体"/>
          <w:b w:val="0"/>
          <w:sz w:val="28"/>
        </w:rPr>
        <w:t>学  生  学  号：  2023423310204 - 缑昱甫</w:t>
      </w:r>
    </w:p>
    <w:p>
      <w:pPr>
        <w:spacing w:after="200"/>
        <w:jc w:val="left"/>
      </w:pPr>
      <w:r>
        <w:rPr>
          <w:rFonts w:ascii="宋体" w:hAnsi="宋体" w:eastAsia="宋体"/>
          <w:b w:val="0"/>
          <w:sz w:val="28"/>
        </w:rPr>
        <w:t>学  生  学  期：  2025-2026 第二学期</w:t>
      </w:r>
    </w:p>
    <w:p>
      <w:pPr>
        <w:spacing w:after="400"/>
      </w:pPr>
      <w:r>
        <w:rPr>
          <w:rFonts w:ascii="宋体" w:hAnsi="宋体" w:eastAsia="宋体"/>
          <w:b w:val="0"/>
          <w:sz w:val="28"/>
        </w:rPr>
      </w:r>
    </w:p>
    <w:p>
      <w:pPr>
        <w:spacing w:after="120"/>
        <w:jc w:val="center"/>
      </w:pPr>
      <w:r>
        <w:rPr>
          <w:rFonts w:ascii="楷体" w:hAnsi="楷体" w:eastAsia="楷体"/>
          <w:b/>
          <w:sz w:val="28"/>
        </w:rPr>
        <w:t>东莞理工学院</w:t>
      </w:r>
    </w:p>
    <w:p>
      <w:r>
        <w:br w:type="page"/>
      </w:r>
    </w:p>
    <w:p>
      <w:pPr>
        <w:spacing w:after="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</w:pPr>
      <w:r>
        <w:rPr>
          <w:rFonts w:ascii="宋体" w:hAnsi="宋体" w:eastAsia="宋体"/>
          <w:b w:val="0"/>
          <w:sz w:val="24"/>
        </w:rPr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52"/>
        </w:rPr>
        <w:t>东莞理工学院</w:t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44"/>
        </w:rPr>
        <w:t>23级 计算机(元宇宙)专业 2班</w:t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44"/>
        </w:rPr>
        <w:t>2025~2026学年第二学期</w:t>
      </w:r>
    </w:p>
    <w:p>
      <w:pPr>
        <w:spacing w:after="400"/>
        <w:jc w:val="center"/>
      </w:pPr>
      <w:r>
        <w:rPr>
          <w:rFonts w:ascii="黑体" w:hAnsi="黑体" w:eastAsia="黑体"/>
          <w:b w:val="0"/>
          <w:sz w:val="44"/>
        </w:rPr>
        <w:t>《Web前端开发》期末报告</w:t>
      </w:r>
    </w:p>
    <w:p>
      <w:pPr>
        <w:spacing w:after="0"/>
      </w:pPr>
      <w:r>
        <w:rPr>
          <w:rFonts w:ascii="宋体" w:hAnsi="宋体" w:eastAsia="宋体"/>
          <w:b w:val="0"/>
          <w:sz w:val="28"/>
        </w:rPr>
      </w:r>
    </w:p>
    <w:p>
      <w:pPr>
        <w:spacing w:after="0"/>
      </w:pPr>
      <w:r>
        <w:rPr>
          <w:rFonts w:ascii="宋体" w:hAnsi="宋体" w:eastAsia="宋体"/>
          <w:b w:val="0"/>
          <w:sz w:val="28"/>
        </w:rPr>
      </w:r>
    </w:p>
    <w:p>
      <w:pPr>
        <w:spacing w:after="0"/>
      </w:pPr>
      <w:r>
        <w:rPr>
          <w:rFonts w:ascii="宋体" w:hAnsi="宋体" w:eastAsia="宋体"/>
          <w:b w:val="0"/>
          <w:sz w:val="28"/>
        </w:rPr>
      </w:r>
    </w:p>
    <w:p>
      <w:pPr>
        <w:spacing w:after="280"/>
        <w:jc w:val="center"/>
      </w:pPr>
      <w:r>
        <w:rPr>
          <w:rFonts w:ascii="黑体" w:hAnsi="黑体" w:eastAsia="黑体"/>
          <w:b/>
          <w:sz w:val="36"/>
        </w:rPr>
        <w:t>项目：律动之下 —— 音乐推荐与介绍网站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32"/>
        </w:rPr>
        <w:t>指导教师：时维宁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32"/>
        </w:rPr>
        <w:t>学生学号：2023423310204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32"/>
        </w:rPr>
        <w:t>学生姓名：缑昱甫</w:t>
      </w:r>
    </w:p>
    <w:p>
      <w:pPr>
        <w:spacing w:after="400"/>
      </w:pPr>
      <w:r>
        <w:rPr>
          <w:rFonts w:ascii="宋体" w:hAnsi="宋体" w:eastAsia="宋体"/>
          <w:b w:val="0"/>
          <w:sz w:val="32"/>
        </w:rPr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32"/>
        </w:rPr>
        <w:t>2026年6月19日</w:t>
      </w:r>
    </w:p>
    <w:p>
      <w:r>
        <w:br w:type="page"/>
      </w:r>
    </w:p>
    <w:p>
      <w:pPr>
        <w:spacing w:after="400"/>
        <w:jc w:val="center"/>
      </w:pPr>
      <w:r>
        <w:rPr>
          <w:rFonts w:ascii="黑体" w:hAnsi="黑体" w:eastAsia="黑体"/>
          <w:b/>
          <w:sz w:val="44"/>
        </w:rPr>
        <w:t>《Web前端开发》期末报告</w:t>
      </w:r>
    </w:p>
    <w:p>
      <w:pPr>
        <w:spacing w:after="160"/>
      </w:pPr>
      <w:r>
        <w:rPr>
          <w:rFonts w:ascii="黑体" w:hAnsi="黑体" w:eastAsia="黑体"/>
          <w:b/>
          <w:sz w:val="28"/>
        </w:rPr>
        <w:t>一、背景介绍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在流媒体与算法推荐主导音乐消费的时代，听众的品味越来越被「猜你喜欢」所塑造。数据驱动的推荐引擎倾向于推送最安全、最大众化的内容，大量优秀但不够「主流」的音乐作品因此被埋没。The Velvet Underground 的地下实验、King Crimson 的史诗前卫、具岛直子的都市抒情……这些在各自流派中不可替代的经典，在算法逻辑中却鲜有曝光。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本项目的选题「律动之下（UnderGrooves）」——取 Under（地下）与 Grooves（律动）的双关含义——正是一个试图对抗这一趋势的音乐推荐与介绍网站。网站不以播放量或热度为标准，而以音乐本身的质量与表达为准则，精选跨越近60年的15张专辑，按流派分为五大板块，为每一张专辑配备封面图片、风格标签与千字级别的深度介绍，旨在帮助听众发现真正值得聆听的好音乐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此外，每个分类页面配有对应风格的主题背景音乐，通过封面视觉、文字介绍与听觉氛围三重维度，为用户营造沉浸式的音乐探索体验。</w:t>
      </w:r>
    </w:p>
    <w:p>
      <w:pPr>
        <w:spacing w:after="160"/>
      </w:pPr>
      <w:r>
        <w:rPr>
          <w:rFonts w:ascii="黑体" w:hAnsi="黑体" w:eastAsia="黑体"/>
          <w:b/>
          <w:sz w:val="28"/>
        </w:rPr>
        <w:t>二、资源探索（参考网站）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在本项目的开发过程中，参考了以下网站与资源：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1. MDN Web Docs（developer.mozilla.org）：学习 HTML5 语义化标签、CSS3 Flexbox/Grid 布局、&lt;audio&gt; 元素 API 以及移动端音频自动播放策略等核心技术文档。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2. GitHub Pages 官方文档（docs.github.com/pages）：学习静态网站的部署流程，包括 SSH 密钥配置与 Pages 设置。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3. RateYourMusic（rateyourmusic.com）：作为全球最大的社区驱动音乐数据库，参考其分类体系与专辑展示方式。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4. Discogs（discogs.com）：参考专辑的年代、流派标签与封面图片的展示形式。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5. 豆瓣音乐（music.douban.com）：参考华语与日系音乐的介绍文案风格与用户评论文本结构。</w:t>
      </w:r>
    </w:p>
    <w:p>
      <w:pPr>
        <w:spacing w:after="160"/>
      </w:pPr>
      <w:r>
        <w:rPr>
          <w:rFonts w:ascii="黑体" w:hAnsi="黑体" w:eastAsia="黑体"/>
          <w:b/>
          <w:sz w:val="28"/>
        </w:rPr>
        <w:t>三、功能设计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本项目在设计上需满足以下核心要求：网站至少包含6个网页，首页名称为 index.html，其它网页的文件名称和网页标题与导航条按钮内容相对应，总网页数不多于12个；站点名称为网站主题，首页标题为网站主题，其它网页标题为该网页主题；所有版面宽度设置一致（900-1100px），页面边距均设置为0，采用 Div+CSS 进行页面布局且须居中；页面栏目完整，必须包括导航条和页脚，长页面通过锚点链接增加阅读便利性。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基于以上要求，本项目共设计了7个HTML页面，涵盖五个音乐分类板块、一个首页入口和一个关于页面，具体功能设计如下：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（1）首页（index.html）：网站主入口，顶部 Hero 引言区介绍站点理念；页面主体按五大分类板块（电子音乐、摇滚乐、嘻哈说唱、华语音乐、日系音乐）组织，采用 CSS Grid 三列卡片网格布局，展示全部15张专辑的封面缩略图，每张卡片包含封面图、专辑名、艺术家、发行年份和流派标签；悬停卡片时产生上浮动画效果，边框变更为对应分类的专属识别色；每张卡片链接至对应分类页面的专辑锚点，底部设有回到顶部链接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（2）电子音乐页面（electronic.html）：展示2张专辑：Crystal Castles 同名首专（暗黑电子/8bit）和 Daft Punk《Random Access Memories》（法式浩室/迪斯科）。页面顶部设有快速跳转锚点导航，每张专辑采用左图（280px）右文 Flex 双栏布局，左侧显示专辑封面，右侧展示专辑名、艺人、年份标签、流派标签与千字级深度介绍。页面以青色（#00D4FF）作为电子音乐分类的专属识别色，体现在卡片边框、标签底色与标题色彩中。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（3）摇滚乐页面（rock.html）：全站最长的分类页面，展示5张专辑：American Football 同名专（中西部情绪摇滚）、Joy Division《Unknown Pleasures》（后朋克）、The Velvet Underground &amp; Nico 同名专（实验摇滚）、King Crimson《In the Court of the Crimson King》（前卫摇滚）、The Beatles《Sgt. Pepper's Lonely Hearts Club Band》（迷幻摇滚）。针对页面长度，顶部设有5个锚点链接的快速跳转导航条，底部设有回到顶部链接，充分体现锚点导航的阅读便利性。以红色（#FF6B6B）为专属识别色。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（4）嘻哈说唱页面（hiphop.html）：展示3张专辑：Playboi Carti《Die Lit》（迷幻陷阱说唱）、Tyler, the Creator《Chromakopia》（实验说唱/灵魂乐）、Higher Brothers《Black Cab》（中文陷阱说唱）。页面结构与上述分类页一致，以橙色（#FFB347）为专属识别色。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（5）华语音乐页面（chinese.html）：展示2张专辑：王菲《寓言》（另类流行/梦幻电子）和陈绮贞《Groupies 吉他手》（城市民谣/轻摇滚）。以绿色（#6BCB77）为专属识别色。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（6）日系音乐页面（japanese.html）：展示3张专辑：具岛直子《miss.G》（City Pop/都市抒情R&amp;B）、山下达郎《Big Wave》（City Pop/冲浪流行）和杏里《Heaven Beach》（City Pop/轻放克）。以粉色（#E8A0BF）为专属识别色。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（7）关于本站页面（about.html）：包含站点理念介绍、专辑年代谱时间线（1967-2024）、分类速览列表三个板块，以可视化方式呈现网站的整体面貌与音乐版图。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除上述内容设计外，每个页面均实现了以下共同功能：统一的导航条（7项均分 Flexbox 布局，当前页高亮，悬停显示分类色下划线）；统一的页脚（站点名称、版权信息、导航链接）；全站背景采用 Joy Division《Unknown Pleasures》脉冲星波形图叠加90%透明度遮罩，呼应「地下」音乐主题；每个分类页面配有对应风格的背景音乐（HTML5 &lt;audio&gt; 元素），实现循环播放，并针对移动端浏览器的自动播放限制进行了专门的兼容性适配。</w:t>
      </w:r>
    </w:p>
    <w:p>
      <w:pPr>
        <w:spacing w:after="160"/>
      </w:pPr>
      <w:r>
        <w:rPr>
          <w:rFonts w:ascii="黑体" w:hAnsi="黑体" w:eastAsia="黑体"/>
          <w:b/>
          <w:sz w:val="28"/>
        </w:rPr>
        <w:t>四、技术实现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本项目采用纯 HTML5 + CSS3 技术栈，无任何前端框架依赖，共包含7个HTML页面、1个外部CSS样式表、15张专辑封面图片、15篇专辑介绍文本、7个背景音乐MP3文件。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（一）HTML5 语义化结构。每个页面使用 &lt;header&gt;、&lt;nav&gt;、&lt;section&gt;、&lt;footer&gt; 等语义化标签构建文档结构，提升代码可读性与可维护性。&lt;audio&gt; 标签用于嵌入背景音乐，配合 JavaScript 实现交互式音频解锁。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（二）CSS3 布局方案。主容器 #container 固定宽度1000px，使用 margin: 0 auto 实现水平居中。导航条使用 Flexbox 布局，7个导航项均分宽度，当前页高亮显示。首页专辑卡片使用 CSS Grid 三列网格布局，通过 grid-template-columns: repeat(3, 1fr) 实现。分类页专辑详情使用 Flex 双栏布局，左侧封面固定280px宽度，右侧文字区域弹性填充。响应式设计通过 @media 断点（768px/1020px）适配不同屏幕，小屏幕下卡片网格降级为两列、详情页双栏变为上下堆叠。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（三）流派专属配色体系。为五大音乐分类分别设计了独立的识别色：电子青（#00D4FF）、摇滚红（#FF6B6B）、嘻哈橙（#FFB347）、华语绿（#6BCB77）、日系粉（#E8A0BF）。每个分类在标题下划线、卡片边框、标签底色、导航悬停效果等位置统一使用对应色彩，形成清晰的视觉识别系统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（四）交互与动效。首页专辑卡片悬停时上浮5px并变更边框色，封面图片亮度提升10%；分类页专辑详情卡片左边框加粗3px色条作为流派视觉标识；锚点导航标签悬停变色，回到顶部链接悬停高亮。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（五）多媒体与音频适配。7个MP3背景音乐文件原始总大小约44MB，使用 ffmpeg 工具压缩至64kbps单声道，压缩后总大小约12.6MB（缩减71%），大幅缩短移动端加载时间。针对移动端浏览器（iOS Safari / Android Chrome）的自动播放限制，编写了专门的音频解锁脚本：监听 touchend 和 click 事件标记用户交互状态，同时监听 canplay 事件检测音频加载完成，利用双重条件判断（用户已交互 AND 音频已就绪）触发播放，确保在各种网络和设备环境下都能可靠地启动背景音乐。此外，针对部分MP3文件内嵌封面图导致移动端浏览器误判为视频文件的问题，使用 ffmpeg -vn 参数去除视频流，确保 &lt;audio&gt; 标签的兼容性。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（六）版本管理与部署。使用 Git 进行版本控制，通过 SSH 密钥（ed25519）连接 GitHub 远程仓库，在 GitHub Pages 上部署为静态网站，默认启用 HTTPS 加密。访问链接：https://apartus.github.io/undergrooves/。</w:t>
      </w:r>
    </w:p>
    <w:p>
      <w:pPr>
        <w:spacing w:after="160"/>
      </w:pPr>
      <w:r>
        <w:rPr>
          <w:rFonts w:ascii="黑体" w:hAnsi="黑体" w:eastAsia="黑体"/>
          <w:b/>
          <w:sz w:val="28"/>
        </w:rPr>
        <w:t>五、实用性与总结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本项目的实用价值体现在以下几个方面：第一，作为音乐发现工具，15张专辑涵盖电子、摇滚、嘻哈、华语独立、日系City Pop五大方向，每篇介绍从封面视觉、编曲特点、声线特质到适合场景均有详细分析，读者可据此判断是否契合个人口味。第二，跨平台访问，部署于 GitHub Pages，任何设备通过浏览器即可访问，无需安装应用。第三，沉浸式体验，每个分类页面配有对应风格的背景音乐，进入页面的瞬间即可感受该流派的氛围基调。第四，可维护性强，纯静态HTML结构，内容与样式完全分离，新增专辑只需添加HTML卡片+图片+介绍文本，无需改动核心架构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在技术层面，本项目完整覆盖了 Web 前端开发的核心知识点：HTML5 语义化标签、CSS3 Flexbox 与 Grid 布局、响应式设计、CSS 外部样式表管理、HTML5 多媒体处理、移动端兼容性适配、Git 版本控制与静态网站部署。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「律动之下」不只是一个课程作业。它试图回答一个更深的命题：在一个算法支配听觉的时代，人应该如何主动地、有态度地发现好音乐？答案藏在这15张专辑的封面、文字与旋律里——潜入律动之下，听见算法之外的频率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