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60" w:before="0"/>
        <w:jc w:val="center"/>
      </w:pPr>
      <w:r>
        <w:rPr>
          <w:rFonts w:ascii="Arial" w:cs="Arial" w:eastAsia="Arial" w:hAnsi="Arial"/>
          <w:b/>
          <w:bCs/>
          <w:color w:val="1A1A2E"/>
          <w:sz w:val="96"/>
          <w:szCs w:val="96"/>
        </w:rPr>
        <w:t xml:space="preserve">RAPID</w:t>
      </w:r>
    </w:p>
    <w:p>
      <w:pPr>
        <w:spacing w:after="240" w:before="0"/>
        <w:jc w:val="center"/>
      </w:pPr>
      <w:r>
        <w:rPr>
          <w:rFonts w:ascii="Arial" w:cs="Arial" w:eastAsia="Arial" w:hAnsi="Arial"/>
          <w:color w:val="374151"/>
          <w:sz w:val="26"/>
          <w:szCs w:val="26"/>
        </w:rPr>
        <w:t xml:space="preserve">RAG Application for Private Instant Deployment</w:t>
      </w:r>
    </w:p>
    <w:p>
      <w:pPr>
        <w:pBdr>
          <w:bottom w:val="single" w:color="4F46E5" w:sz="4"/>
        </w:pBdr>
        <w:spacing w:after="60" w:before="0"/>
        <w:jc w:val="center"/>
      </w:pPr>
    </w:p>
    <w:p/>
    <w:p>
      <w:pPr>
        <w:spacing w:after="100" w:before="0"/>
        <w:jc w:val="center"/>
      </w:pPr>
      <w:r>
        <w:rPr>
          <w:rFonts w:ascii="Arial" w:cs="Arial" w:eastAsia="Arial" w:hAnsi="Arial"/>
          <w:b/>
          <w:bCs/>
          <w:color w:val="4F46E5"/>
          <w:sz w:val="38"/>
          <w:szCs w:val="38"/>
        </w:rPr>
        <w:t xml:space="preserve">Departments · Unstructured Data · Structured Data</w:t>
      </w:r>
    </w:p>
    <w:p>
      <w:pPr>
        <w:spacing w:after="60" w:before="0"/>
        <w:jc w:val="center"/>
      </w:pPr>
      <w:r>
        <w:rPr>
          <w:rFonts w:ascii="Arial" w:cs="Arial" w:eastAsia="Arial" w:hAnsi="Arial"/>
          <w:color w:val="374151"/>
          <w:sz w:val="22"/>
          <w:szCs w:val="22"/>
        </w:rPr>
        <w:t xml:space="preserve">How every department works · How the RAG pipeline processes documents · How the DB pipeline processes databases</w:t>
      </w:r>
    </w:p>
    <w:p/>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 Type</w:t>
            </w:r>
          </w:p>
        </w:tc>
        <w:tc>
          <w:tcPr>
            <w:tcW w:type="dxa" w:w="300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Pipelines Deep Dive</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Version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1.0 — April 2026</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Audience</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Developers building RAPID from scratch</w:t>
            </w:r>
          </w:p>
        </w:tc>
      </w:tr>
      <w:tr>
        <w:tc>
          <w:tcPr>
            <w:tcW w:type="dxa" w:w="30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Companion to</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RAPID Full Implementation Reference v1.0</w:t>
            </w:r>
          </w:p>
        </w:tc>
      </w:tr>
    </w:tbl>
    <w:p/>
    <w:p/>
    <w:p/>
    <w:p>
      <w:r>
        <w:br w:type="page"/>
      </w:r>
    </w:p>
    <w:p>
      <w:pPr>
        <w:pStyle w:val="Heading1"/>
        <w:pBdr>
          <w:bottom w:val="single" w:color="4F46E5" w:sz="6" w:space="4"/>
        </w:pBdr>
        <w:spacing w:after="200" w:before="400"/>
      </w:pPr>
      <w:r>
        <w:rPr>
          <w:rFonts w:ascii="Arial" w:cs="Arial" w:eastAsia="Arial" w:hAnsi="Arial"/>
          <w:b/>
          <w:bCs/>
          <w:color w:val="1A1A2E"/>
          <w:sz w:val="44"/>
          <w:szCs w:val="44"/>
        </w:rPr>
        <w:t xml:space="preserve">1. Departments — Complete Reference</w:t>
      </w:r>
    </w:p>
    <w:p>
      <w:pPr>
        <w:spacing w:after="80" w:before="80"/>
        <w:jc w:val="left"/>
      </w:pPr>
      <w:r>
        <w:rPr>
          <w:rFonts w:ascii="Arial" w:cs="Arial" w:eastAsia="Arial" w:hAnsi="Arial"/>
          <w:b w:val="false"/>
          <w:bCs w:val="false"/>
          <w:color w:val="111827"/>
          <w:sz w:val="20"/>
          <w:szCs w:val="20"/>
        </w:rPr>
        <w:t xml:space="preserve">RAPID ships with 7 core departments. These were selected by running real enterprise query scenarios across dozens of company types. These 7 appeared in virtually every scenario. They are not fixed — RAPID's self-expanding mechanism allows new departments to be added whenever the system detects a capability gap.</w:t>
      </w:r>
    </w:p>
    <w:p/>
    <w:p>
      <w:pPr>
        <w:pStyle w:val="Heading2"/>
        <w:spacing w:after="160" w:before="300"/>
      </w:pPr>
      <w:r>
        <w:rPr>
          <w:rFonts w:ascii="Arial" w:cs="Arial" w:eastAsia="Arial" w:hAnsi="Arial"/>
          <w:b/>
          <w:bCs/>
          <w:color w:val="4F46E5"/>
          <w:sz w:val="30"/>
          <w:szCs w:val="30"/>
        </w:rPr>
        <w:t xml:space="preserve">1.1 Why These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Reason</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Covers ~90% of enterprise queries</w:t>
            </w:r>
          </w:p>
        </w:tc>
        <w:tc>
          <w:tcPr>
            <w:tcW w:type="dxa" w:w="468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Finance, Legal, HR, Sales, Marketing, Ops, IT are queried in virtually every company, every day.</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Maps to real org structure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Employees already think in these categories — they know to ask HR about benefits, Finance about budget. No re-learning needed.</w:t>
            </w:r>
          </w:p>
        </w:tc>
      </w:tr>
      <w:tr>
        <w:tc>
          <w:tcPr>
            <w:tcW w:type="dxa" w:w="468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Covers both document and database data</w:t>
            </w:r>
          </w:p>
        </w:tc>
        <w:tc>
          <w:tcPr>
            <w:tcW w:type="dxa" w:w="468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Every department has both documents (policies, reports) AND databases (records, tables). The dual pipeline applies to all 7.</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Extensible by design</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Client can add custom departments (e.g. Procurement, R&amp;D, Customer Success) using the same base agent class. The 7 are the default, not the limit.</w:t>
            </w:r>
          </w:p>
        </w:tc>
      </w:tr>
    </w:tbl>
    <w:p/>
    <w:p>
      <w:pPr>
        <w:pStyle w:val="Heading2"/>
        <w:spacing w:after="160" w:before="300"/>
      </w:pPr>
      <w:r>
        <w:rPr>
          <w:rFonts w:ascii="Arial" w:cs="Arial" w:eastAsia="Arial" w:hAnsi="Arial"/>
          <w:b/>
          <w:bCs/>
          <w:color w:val="4F46E5"/>
          <w:sz w:val="30"/>
          <w:szCs w:val="30"/>
        </w:rPr>
        <w:t xml:space="preserve">1.2 All 7 Departments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1300"/>
        <w:gridCol w:w="2500"/>
        <w:gridCol w:w="2700"/>
        <w:gridCol w:w="2500"/>
      </w:tblGrid>
      <w:tr>
        <w:tc>
          <w:tcPr>
            <w:tcW w:type="dxa" w:w="3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13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Dept</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Primary Query Types</w:t>
            </w:r>
          </w:p>
        </w:tc>
        <w:tc>
          <w:tcPr>
            <w:tcW w:type="dxa" w:w="27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Document Folders</w:t>
            </w:r>
          </w:p>
        </w:tc>
        <w:tc>
          <w:tcPr>
            <w:tcW w:type="dxa" w:w="25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Database Tables</w:t>
            </w:r>
          </w:p>
        </w:tc>
      </w:tr>
      <w:tr>
        <w:tc>
          <w:tcPr>
            <w:tcW w:type="dxa" w:w="36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1</w:t>
            </w:r>
          </w:p>
        </w:tc>
        <w:tc>
          <w:tcPr>
            <w:tcW w:type="dxa" w:w="13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Finance</w:t>
            </w:r>
          </w:p>
        </w:tc>
        <w:tc>
          <w:tcPr>
            <w:tcW w:type="dxa" w:w="25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18"/>
                <w:szCs w:val="18"/>
              </w:rPr>
              <w:t xml:space="preserve">Revenue, budgets, costs, invoices, P&amp;L, cash flow, expense tracking, financial forecasts</w:t>
            </w:r>
          </w:p>
        </w:tc>
        <w:tc>
          <w:tcPr>
            <w:tcW w:type="dxa" w:w="27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finance/quarterly_reports/
finance/budget_plans/
finance/expense_reports/</w:t>
            </w:r>
          </w:p>
        </w:tc>
        <w:tc>
          <w:tcPr>
            <w:tcW w:type="dxa" w:w="25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financials
orders
invoices
budget_allocations
expense_claims</w:t>
            </w:r>
          </w:p>
        </w:tc>
      </w:tr>
      <w:tr>
        <w:tc>
          <w:tcPr>
            <w:tcW w:type="dxa" w:w="36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2</w:t>
            </w:r>
          </w:p>
        </w:tc>
        <w:tc>
          <w:tcPr>
            <w:tcW w:type="dxa" w:w="13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Legal</w:t>
            </w:r>
          </w:p>
        </w:tc>
        <w:tc>
          <w:tcPr>
            <w:tcW w:type="dxa" w:w="25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18"/>
                <w:szCs w:val="18"/>
              </w:rPr>
              <w:t xml:space="preserve">GDPR compliance, contracts, regulatory risk, legal exposure, litigation status, policy compliance</w:t>
            </w:r>
          </w:p>
        </w:tc>
        <w:tc>
          <w:tcPr>
            <w:tcW w:type="dxa" w:w="27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legal/compliance/
legal/contracts/
legal/regulations/
legal/gdpr_policies/</w:t>
            </w:r>
          </w:p>
        </w:tc>
        <w:tc>
          <w:tcPr>
            <w:tcW w:type="dxa" w:w="25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cases
contracts_db
compliance_records
regulatory_filings</w:t>
            </w:r>
          </w:p>
        </w:tc>
      </w:tr>
      <w:tr>
        <w:tc>
          <w:tcPr>
            <w:tcW w:type="dxa" w:w="36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3</w:t>
            </w:r>
          </w:p>
        </w:tc>
        <w:tc>
          <w:tcPr>
            <w:tcW w:type="dxa" w:w="13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HR</w:t>
            </w:r>
          </w:p>
        </w:tc>
        <w:tc>
          <w:tcPr>
            <w:tcW w:type="dxa" w:w="25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8"/>
                <w:szCs w:val="18"/>
              </w:rPr>
              <w:t xml:space="preserve">Company policies, benefits, leave, onboarding, headcount, org structure, training requirements</w:t>
            </w:r>
          </w:p>
        </w:tc>
        <w:tc>
          <w:tcPr>
            <w:tcW w:type="dxa" w:w="27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hr/policies/
hr/handbooks/
hr/onboarding/
hr/training/</w:t>
            </w:r>
          </w:p>
        </w:tc>
        <w:tc>
          <w:tcPr>
            <w:tcW w:type="dxa" w:w="2500"/>
            <w:tcBorders>
              <w:top w:val="single" w:color="CCCCCC" w:sz="1"/>
              <w:left w:val="single" w:color="CCCCCC" w:sz="1"/>
              <w:bottom w:val="single" w:color="CCCCCC" w:sz="1"/>
              <w:right w:val="single" w:color="CCCCCC" w:sz="1"/>
            </w:tcBorders>
            <w:shd w:fill="EDE9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employees
benefits_enrollment
leave_records
org_structure</w:t>
            </w:r>
          </w:p>
        </w:tc>
      </w:tr>
      <w:tr>
        <w:tc>
          <w:tcPr>
            <w:tcW w:type="dxa" w:w="36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4</w:t>
            </w:r>
          </w:p>
        </w:tc>
        <w:tc>
          <w:tcPr>
            <w:tcW w:type="dxa" w:w="13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Sales</w:t>
            </w:r>
          </w:p>
        </w:tc>
        <w:tc>
          <w:tcPr>
            <w:tcW w:type="dxa" w:w="2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8"/>
                <w:szCs w:val="18"/>
              </w:rPr>
              <w:t xml:space="preserve">Deal status, pipeline value, customer history, CRM, win/loss analysis, quota attainment</w:t>
            </w:r>
          </w:p>
        </w:tc>
        <w:tc>
          <w:tcPr>
            <w:tcW w:type="dxa" w:w="27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sales/playbook/
sales/case_studies/
sales/territory_plans/</w:t>
            </w:r>
          </w:p>
        </w:tc>
        <w:tc>
          <w:tcPr>
            <w:tcW w:type="dxa" w:w="2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customers
orders
deals
sales_pipeline
customer_interactions</w:t>
            </w:r>
          </w:p>
        </w:tc>
      </w:tr>
      <w:tr>
        <w:tc>
          <w:tcPr>
            <w:tcW w:type="dxa" w:w="36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5</w:t>
            </w:r>
          </w:p>
        </w:tc>
        <w:tc>
          <w:tcPr>
            <w:tcW w:type="dxa" w:w="13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Marketing</w:t>
            </w:r>
          </w:p>
        </w:tc>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11827"/>
                <w:sz w:val="18"/>
                <w:szCs w:val="18"/>
              </w:rPr>
              <w:t xml:space="preserve">Campaign performance, ad spend, channel analytics, market data, lead stats, content performance</w:t>
            </w:r>
          </w:p>
        </w:tc>
        <w:tc>
          <w:tcPr>
            <w:tcW w:type="dxa" w:w="27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marketing/campaigns/
marketing/reports/
marketing/market_research/</w:t>
            </w:r>
          </w:p>
        </w:tc>
        <w:tc>
          <w:tcPr>
            <w:tcW w:type="dxa" w:w="25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ad_spend
campaign_analytics
lead_data
channel_performance</w:t>
            </w:r>
          </w:p>
        </w:tc>
      </w:tr>
      <w:tr>
        <w:tc>
          <w:tcPr>
            <w:tcW w:type="dxa" w:w="36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6</w:t>
            </w:r>
          </w:p>
        </w:tc>
        <w:tc>
          <w:tcPr>
            <w:tcW w:type="dxa" w:w="13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Operations</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18"/>
                <w:szCs w:val="18"/>
              </w:rPr>
              <w:t xml:space="preserve">Process docs, logistics status, KPI metrics, SLA compliance, supply chain, capacity planning</w:t>
            </w:r>
          </w:p>
        </w:tc>
        <w:tc>
          <w:tcPr>
            <w:tcW w:type="dxa" w:w="27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ops/processes/
ops/sops/
ops/kpi_reports/</w:t>
            </w:r>
          </w:p>
        </w:tc>
        <w:tc>
          <w:tcPr>
            <w:tcW w:type="dxa" w:w="25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operations
logistics
kpis
sla_records
vendor_contracts</w:t>
            </w:r>
          </w:p>
        </w:tc>
      </w:tr>
      <w:tr>
        <w:tc>
          <w:tcPr>
            <w:tcW w:type="dxa" w:w="36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7</w:t>
            </w:r>
          </w:p>
        </w:tc>
        <w:tc>
          <w:tcPr>
            <w:tcW w:type="dxa" w:w="13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IT</w:t>
            </w:r>
          </w:p>
        </w:tc>
        <w:tc>
          <w:tcPr>
            <w:tcW w:type="dxa" w:w="2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8"/>
                <w:szCs w:val="18"/>
              </w:rPr>
              <w:t xml:space="preserve">System access, tool availability, infra status, IT policies, software licences, security policies</w:t>
            </w:r>
          </w:p>
        </w:tc>
        <w:tc>
          <w:tcPr>
            <w:tcW w:type="dxa" w:w="27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it/policies/
it/guides/
it/security_policies/</w:t>
            </w:r>
          </w:p>
        </w:tc>
        <w:tc>
          <w:tcPr>
            <w:tcW w:type="dxa" w:w="25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17"/>
                <w:szCs w:val="17"/>
              </w:rPr>
              <w:t xml:space="preserve">systems
access_requests
software_licenses
infrastructure_status</w:t>
            </w:r>
          </w:p>
        </w:tc>
      </w:tr>
    </w:tbl>
    <w:p/>
    <w:p>
      <w:pPr>
        <w:pStyle w:val="Heading2"/>
        <w:spacing w:after="160" w:before="300"/>
      </w:pPr>
      <w:r>
        <w:rPr>
          <w:rFonts w:ascii="Arial" w:cs="Arial" w:eastAsia="Arial" w:hAnsi="Arial"/>
          <w:b/>
          <w:bCs/>
          <w:color w:val="4F46E5"/>
          <w:sz w:val="30"/>
          <w:szCs w:val="30"/>
        </w:rPr>
        <w:t xml:space="preserve">1.3 What Each Department Restricts</w:t>
      </w:r>
    </w:p>
    <w:p>
      <w:pPr>
        <w:spacing w:after="80" w:before="80"/>
        <w:jc w:val="left"/>
      </w:pPr>
      <w:r>
        <w:rPr>
          <w:rFonts w:ascii="Arial" w:cs="Arial" w:eastAsia="Arial" w:hAnsi="Arial"/>
          <w:b w:val="false"/>
          <w:bCs w:val="false"/>
          <w:color w:val="111827"/>
          <w:sz w:val="20"/>
          <w:szCs w:val="20"/>
        </w:rPr>
        <w:t xml:space="preserve">Every department has data that must be protected. The Constitution defines three levels of restriction: BLOCK means the data never leaves the agent. ANONYMIZE means it is transformed (hashed, aggregated) before leaving. ALLOW_ROLE means only certain user roles can see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Department</w:t>
            </w:r>
          </w:p>
        </w:tc>
        <w:tc>
          <w:tcPr>
            <w:tcW w:type="dxa" w:w="2400"/>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BLOCK — Never visible to anyone</w:t>
            </w:r>
          </w:p>
        </w:tc>
        <w:tc>
          <w:tcPr>
            <w:tcW w:type="dxa" w:w="2880"/>
            <w:tcBorders>
              <w:top w:val="single" w:color="D97706" w:sz="1"/>
              <w:left w:val="single" w:color="D97706" w:sz="1"/>
              <w:bottom w:val="single" w:color="D97706" w:sz="1"/>
              <w:right w:val="single" w:color="D97706" w:sz="1"/>
            </w:tcBorders>
            <w:shd w:fill="D97706" w:val="clear"/>
            <w:tcMar>
              <w:top w:type="dxa" w:w="100"/>
              <w:left w:type="dxa" w:w="150"/>
              <w:bottom w:type="dxa" w:w="100"/>
              <w:right w:type="dxa" w:w="150"/>
            </w:tcMar>
            <w:vAlign w:val="center"/>
          </w:tcPr>
          <w:p>
            <w:pPr>
              <w:jc w:val="center"/>
            </w:pPr>
            <w:r>
              <w:rPr>
                <w:rFonts w:ascii="Arial" w:cs="Arial" w:eastAsia="Arial" w:hAnsi="Arial"/>
                <w:b/>
                <w:bCs/>
                <w:color w:val="111827"/>
                <w:sz w:val="20"/>
                <w:szCs w:val="20"/>
              </w:rPr>
              <w:t xml:space="preserve">ANONYMIZE — Transformed before returning</w:t>
            </w:r>
          </w:p>
        </w:tc>
        <w:tc>
          <w:tcPr>
            <w:tcW w:type="dxa" w:w="268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ALLOW_ROLE — Visible only to specific roles</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Finance</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Executive compensation packages, investor deal terms, pre-announcement financial data</w:t>
            </w:r>
          </w:p>
        </w:tc>
        <w:tc>
          <w:tcPr>
            <w:tcW w:type="dxa" w:w="28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97706"/>
                <w:sz w:val="20"/>
                <w:szCs w:val="20"/>
              </w:rPr>
              <w:t xml:space="preserve">Individual salary data → team/dept averages only</w:t>
            </w:r>
          </w:p>
        </w:tc>
        <w:tc>
          <w:tcPr>
            <w:tcW w:type="dxa" w:w="2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0D9488"/>
                <w:sz w:val="20"/>
                <w:szCs w:val="20"/>
              </w:rPr>
              <w:t xml:space="preserve">Gross margin data → Finance Managers and above only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Legal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Active litigation strategy, settlement amounts, opposing counsel communications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97706"/>
                <w:sz w:val="20"/>
                <w:szCs w:val="20"/>
              </w:rPr>
              <w:t xml:space="preserve">Attorney-client privileged content flagged, replaced with referral message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0D9488"/>
                <w:sz w:val="20"/>
                <w:szCs w:val="20"/>
              </w:rPr>
              <w:t xml:space="preserve">Litigation status details → Legal team and C-suite only</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HR</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Performance review scores, disciplinary records, medical/personal leave reasons</w:t>
            </w:r>
          </w:p>
        </w:tc>
        <w:tc>
          <w:tcPr>
            <w:tcW w:type="dxa" w:w="28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97706"/>
                <w:sz w:val="20"/>
                <w:szCs w:val="20"/>
              </w:rPr>
              <w:t xml:space="preserve">Individual salaries → department-level average only</w:t>
            </w:r>
          </w:p>
        </w:tc>
        <w:tc>
          <w:tcPr>
            <w:tcW w:type="dxa" w:w="2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0D9488"/>
                <w:sz w:val="20"/>
                <w:szCs w:val="20"/>
              </w:rPr>
              <w:t xml:space="preserve">Redundancy plans, headcount reduction details → HR Managers only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Sales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Competitor pricing intelligence gathered internally</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97706"/>
                <w:sz w:val="20"/>
                <w:szCs w:val="20"/>
              </w:rPr>
              <w:t xml:space="preserve">Individual prospect personal contact details (GDPR)</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0D9488"/>
                <w:sz w:val="20"/>
                <w:szCs w:val="20"/>
              </w:rPr>
              <w:t xml:space="preserve">Customer financial health scores → Account Managers and above</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Marketing</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Agency contract rate cards, vendor negotiation details</w:t>
            </w:r>
          </w:p>
        </w:tc>
        <w:tc>
          <w:tcPr>
            <w:tcW w:type="dxa" w:w="28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97706"/>
                <w:sz w:val="20"/>
                <w:szCs w:val="20"/>
              </w:rPr>
              <w:t xml:space="preserve">Individual lead contact details → anonymised segments</w:t>
            </w:r>
          </w:p>
        </w:tc>
        <w:tc>
          <w:tcPr>
            <w:tcW w:type="dxa" w:w="2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0D9488"/>
                <w:sz w:val="20"/>
                <w:szCs w:val="20"/>
              </w:rPr>
              <w:t xml:space="preserve">Budget breakdown by channel → Marketing Managers only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Ops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SLA penalty clause amounts (non-management)</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97706"/>
                <w:sz w:val="20"/>
                <w:szCs w:val="20"/>
              </w:rPr>
              <w:t xml:space="preserve">Individual contractor day rates → anonymised ranges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0D9488"/>
                <w:sz w:val="20"/>
                <w:szCs w:val="20"/>
              </w:rPr>
              <w:t xml:space="preserve">Vendor pricing terms → Operations Managers only</w:t>
            </w:r>
          </w:p>
        </w:tc>
      </w:tr>
      <w:tr>
        <w:tc>
          <w:tcPr>
            <w:tcW w:type="dxa" w:w="1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 IT</w:t>
            </w:r>
          </w:p>
        </w:tc>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Admin credentials (all roles), security incident root cause details</w:t>
            </w:r>
          </w:p>
        </w:tc>
        <w:tc>
          <w:tcPr>
            <w:tcW w:type="dxa" w:w="28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D97706"/>
                <w:sz w:val="20"/>
                <w:szCs w:val="20"/>
              </w:rPr>
              <w:t xml:space="preserve">Individual user access logs → aggregated access summaries</w:t>
            </w:r>
          </w:p>
        </w:tc>
        <w:tc>
          <w:tcPr>
            <w:tcW w:type="dxa" w:w="2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0D9488"/>
                <w:sz w:val="20"/>
                <w:szCs w:val="20"/>
              </w:rPr>
              <w:t xml:space="preserve">Security vulnerability reports → IT Security team only</w:t>
            </w:r>
          </w:p>
        </w:tc>
      </w:tr>
    </w:tbl>
    <w:p/>
    <w:p>
      <w:pPr>
        <w:pStyle w:val="Heading2"/>
        <w:spacing w:after="160" w:before="300"/>
      </w:pPr>
      <w:r>
        <w:rPr>
          <w:rFonts w:ascii="Arial" w:cs="Arial" w:eastAsia="Arial" w:hAnsi="Arial"/>
          <w:b/>
          <w:bCs/>
          <w:color w:val="4F46E5"/>
          <w:sz w:val="30"/>
          <w:szCs w:val="30"/>
        </w:rPr>
        <w:t xml:space="preserve">1.4 The Shared Knowledge Base</w:t>
      </w:r>
    </w:p>
    <w:p>
      <w:pPr>
        <w:spacing w:after="80" w:before="80"/>
        <w:jc w:val="left"/>
      </w:pPr>
      <w:r>
        <w:rPr>
          <w:rFonts w:ascii="Arial" w:cs="Arial" w:eastAsia="Arial" w:hAnsi="Arial"/>
          <w:b w:val="false"/>
          <w:bCs w:val="false"/>
          <w:color w:val="111827"/>
          <w:sz w:val="20"/>
          <w:szCs w:val="20"/>
        </w:rPr>
        <w:t xml:space="preserve">In addition to their own scoped folders and tables, every department agent can also read from the Shared Cross-Department Knowledge Base. This contains company-wide information that has no department restriction.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the Shared KB Contains</w:t>
            </w:r>
          </w:p>
        </w:tc>
        <w:tc>
          <w:tcPr>
            <w:tcW w:type="dxa" w:w="4680"/>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 NOT Contain</w:t>
            </w:r>
          </w:p>
        </w:tc>
      </w:tr>
      <w:tr>
        <w:tc>
          <w:tcPr>
            <w:tcW w:type="dxa" w:w="468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6A34A"/>
                <w:sz w:val="20"/>
                <w:szCs w:val="20"/>
              </w:rPr>
              <w:t xml:space="preserve">Company org chart and reporting structure</w:t>
            </w:r>
          </w:p>
        </w:tc>
        <w:tc>
          <w:tcPr>
            <w:tcW w:type="dxa" w:w="468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Any department-restricted documents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6A34A"/>
                <w:sz w:val="20"/>
                <w:szCs w:val="20"/>
              </w:rPr>
              <w:t xml:space="preserve">Company-wide policies (e.g. expense policy, code of conduct)</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Database records from any department</w:t>
            </w:r>
          </w:p>
        </w:tc>
      </w:tr>
      <w:tr>
        <w:tc>
          <w:tcPr>
            <w:tcW w:type="dxa" w:w="468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6A34A"/>
                <w:sz w:val="20"/>
                <w:szCs w:val="20"/>
              </w:rPr>
              <w:t xml:space="preserve">Product catalogue and public pricing</w:t>
            </w:r>
          </w:p>
        </w:tc>
        <w:tc>
          <w:tcPr>
            <w:tcW w:type="dxa" w:w="468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Financial figures or budget data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6A34A"/>
                <w:sz w:val="20"/>
                <w:szCs w:val="20"/>
              </w:rPr>
              <w:t xml:space="preserve">Public company announcements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Personnel records of any kind</w:t>
            </w:r>
          </w:p>
        </w:tc>
      </w:tr>
      <w:tr>
        <w:tc>
          <w:tcPr>
            <w:tcW w:type="dxa" w:w="468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6A34A"/>
                <w:sz w:val="20"/>
                <w:szCs w:val="20"/>
              </w:rPr>
              <w:t xml:space="preserve">Office locations, contact directories (non-sensitive)</w:t>
            </w:r>
          </w:p>
        </w:tc>
        <w:tc>
          <w:tcPr>
            <w:tcW w:type="dxa" w:w="468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DC2626"/>
                <w:sz w:val="20"/>
                <w:szCs w:val="20"/>
              </w:rPr>
              <w:t xml:space="preserve">Legal contracts or compliance records</w:t>
            </w:r>
          </w:p>
        </w:tc>
      </w:tr>
    </w:tbl>
    <w:p/>
    <w:p>
      <w:pPr>
        <w:pStyle w:val="Heading2"/>
        <w:spacing w:after="160" w:before="300"/>
      </w:pPr>
      <w:r>
        <w:rPr>
          <w:rFonts w:ascii="Arial" w:cs="Arial" w:eastAsia="Arial" w:hAnsi="Arial"/>
          <w:b/>
          <w:bCs/>
          <w:color w:val="4F46E5"/>
          <w:sz w:val="30"/>
          <w:szCs w:val="30"/>
        </w:rPr>
        <w:t xml:space="preserve">1.5 Adding New Departments (Self-Expanding Mechanism)</w:t>
      </w:r>
    </w:p>
    <w:p>
      <w:pPr>
        <w:spacing w:after="80" w:before="80"/>
        <w:jc w:val="left"/>
      </w:pPr>
      <w:r>
        <w:rPr>
          <w:rFonts w:ascii="Arial" w:cs="Arial" w:eastAsia="Arial" w:hAnsi="Arial"/>
          <w:b w:val="false"/>
          <w:bCs w:val="false"/>
          <w:color w:val="111827"/>
          <w:sz w:val="20"/>
          <w:szCs w:val="20"/>
        </w:rPr>
        <w:t xml:space="preserve">The 7 core departments are the default. When a client needs a department not in the default set — for example, Procurement, R&amp;D, Customer Success, or Finance Sub-Agents — RAPID's self-expanding mechanism handles the request.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Who Acts</w:t>
            </w:r>
          </w:p>
        </w:tc>
        <w:tc>
          <w:tcPr>
            <w:tcW w:type="dxa" w:w="59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1</w:t>
            </w:r>
          </w:p>
        </w:tc>
        <w:tc>
          <w:tcPr>
            <w:tcW w:type="dxa" w:w="26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Agent Supervisor</w:t>
            </w:r>
          </w:p>
        </w:tc>
        <w:tc>
          <w:tcPr>
            <w:tcW w:type="dxa" w:w="596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Detects that multiple queries are arriving with no agent able to bid above 0.5 confidence. Flags a capability gap.</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Agent Representative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Receives the gap flag. Waits for the pattern to appear 3+ times to confirm it is a real need, not a one-off query.</w:t>
            </w:r>
          </w:p>
        </w:tc>
      </w:tr>
      <w:tr>
        <w:tc>
          <w:tcPr>
            <w:tcW w:type="dxa" w:w="8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3</w:t>
            </w:r>
          </w:p>
        </w:tc>
        <w:tc>
          <w:tcPr>
            <w:tcW w:type="dxa" w:w="26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Agent Representative</w:t>
            </w:r>
          </w:p>
        </w:tc>
        <w:tc>
          <w:tcPr>
            <w:tcW w:type="dxa" w:w="596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Generates a formal new-department request: what queries cannot be handled, how many times the gap appeared, suggested document folders and DB tables needed.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Human Administrator</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Reviews the request. If approved, defines the new department's scope, Constitution rules, document folders, and permitted DB tables.</w:t>
            </w:r>
          </w:p>
        </w:tc>
      </w:tr>
      <w:tr>
        <w:tc>
          <w:tcPr>
            <w:tcW w:type="dxa" w:w="8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5</w:t>
            </w:r>
          </w:p>
        </w:tc>
        <w:tc>
          <w:tcPr>
            <w:tcW w:type="dxa" w:w="260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Agent Representative</w:t>
            </w:r>
          </w:p>
        </w:tc>
        <w:tc>
          <w:tcPr>
            <w:tcW w:type="dxa" w:w="5960"/>
            <w:tcBorders>
              <w:top w:val="single" w:color="CCCCCC" w:sz="1"/>
              <w:left w:val="single" w:color="CCCCCC" w:sz="1"/>
              <w:bottom w:val="single" w:color="CCCCCC" w:sz="1"/>
              <w:right w:val="single" w:color="CCCCCC" w:sz="1"/>
            </w:tcBorders>
            <w:shd w:fill="DBEAFE"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Receives the approved spec. Registers the new department agent in the system, loads its Constitution rules, and makes it available for bidding on the next query.</w:t>
            </w:r>
          </w:p>
        </w:tc>
      </w:tr>
    </w:tbl>
    <w:p>
      <w:r>
        <w:br w:type="page"/>
      </w:r>
    </w:p>
    <w:p>
      <w:pPr>
        <w:pStyle w:val="Heading1"/>
        <w:pBdr>
          <w:bottom w:val="single" w:color="4F46E5" w:sz="6" w:space="4"/>
        </w:pBdr>
        <w:spacing w:after="200" w:before="400"/>
      </w:pPr>
      <w:r>
        <w:rPr>
          <w:rFonts w:ascii="Arial" w:cs="Arial" w:eastAsia="Arial" w:hAnsi="Arial"/>
          <w:b/>
          <w:bCs/>
          <w:color w:val="1A1A2E"/>
          <w:sz w:val="44"/>
          <w:szCs w:val="44"/>
        </w:rPr>
        <w:t xml:space="preserve">2. Unstructured Data — The RAG Pipeline</w:t>
      </w:r>
    </w:p>
    <w:p>
      <w:pPr>
        <w:spacing w:after="80" w:before="80"/>
        <w:jc w:val="left"/>
      </w:pPr>
      <w:r>
        <w:rPr>
          <w:rFonts w:ascii="Arial" w:cs="Arial" w:eastAsia="Arial" w:hAnsi="Arial"/>
          <w:b w:val="false"/>
          <w:bCs w:val="false"/>
          <w:color w:val="111827"/>
          <w:sz w:val="20"/>
          <w:szCs w:val="20"/>
        </w:rPr>
        <w:t xml:space="preserve">Unstructured data means documents: PDFs, Word files, policy documents, quarterly reports, legal contracts, SOPs, playbooks, and any other text-based file. The RAG pipeline is how RAPID searches these documents and converts the results into a safe natural language summary.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DBEAFE" w:val="clear"/>
            <w:tcMar>
              <w:top w:type="dxa" w:w="140"/>
              <w:left w:type="dxa" w:w="200"/>
              <w:bottom w:type="dxa" w:w="140"/>
              <w:right w:type="dxa" w:w="200"/>
            </w:tcMar>
          </w:tcPr>
          <w:p>
            <w:r>
              <w:rPr>
                <w:rFonts w:ascii="Arial" w:cs="Arial" w:eastAsia="Arial" w:hAnsi="Arial"/>
                <w:color w:val="111827"/>
                <w:sz w:val="20"/>
                <w:szCs w:val="20"/>
              </w:rPr>
              <w:t xml:space="preserve">Key rule: Every department agent searches only its own scoped document folders. Finance Agent searches finance/ only. HR Agent searches hr/ only. This is enforced at the ChromaDB metadata filter level — it is architecturally impossible for one department to read another's documents.</w:t>
            </w:r>
          </w:p>
        </w:tc>
      </w:tr>
    </w:tbl>
    <w:p/>
    <w:p>
      <w:pPr>
        <w:pStyle w:val="Heading2"/>
        <w:spacing w:after="160" w:before="300"/>
      </w:pPr>
      <w:r>
        <w:rPr>
          <w:rFonts w:ascii="Arial" w:cs="Arial" w:eastAsia="Arial" w:hAnsi="Arial"/>
          <w:b/>
          <w:bCs/>
          <w:color w:val="4F46E5"/>
          <w:sz w:val="30"/>
          <w:szCs w:val="30"/>
        </w:rPr>
        <w:t xml:space="preserve">2.1 The 4-Stage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60"/>
        <w:gridCol w:w="1800"/>
        <w:gridCol w:w="1400"/>
      </w:tblGrid>
      <w:tr>
        <w:tc>
          <w:tcPr>
            <w:tcW w:type="dxa" w:w="5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Stage</w:t>
            </w:r>
          </w:p>
        </w:tc>
        <w:tc>
          <w:tcPr>
            <w:tcW w:type="dxa" w:w="20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6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It Matters</w:t>
            </w:r>
          </w:p>
        </w:tc>
        <w:tc>
          <w:tcPr>
            <w:tcW w:type="dxa" w:w="1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5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R1</w:t>
            </w:r>
          </w:p>
        </w:tc>
        <w:tc>
          <w:tcPr>
            <w:tcW w:type="dxa" w:w="20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Document Classifier</w:t>
            </w:r>
          </w:p>
        </w:tc>
        <w:tc>
          <w:tcPr>
            <w:tcW w:type="dxa" w:w="36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Reads the incoming query and decides which document types are most likely to contain the answer. Tags the query with priority document categories (e.g. 'policy doc', 'financial report', 'contract').</w:t>
            </w:r>
          </w:p>
        </w:tc>
        <w:tc>
          <w:tcPr>
            <w:tcW w:type="dxa" w:w="18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Narrows the search space before retrieval even starts. Faster, more precise results.</w:t>
            </w:r>
          </w:p>
        </w:tc>
        <w:tc>
          <w:tcPr>
            <w:tcW w:type="dxa" w:w="14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Tagged query + doc_type[]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R2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Query Rewriter (HyDE)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Instead of embedding the raw question, uses HyDE (Hypothetical Document Embeddings): generates a short hypothetical answer to the query, then embeds THAT answer instead of the question.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Questions and answers live in different vector spaces. Embedding a hypothetical answer puts the search vector much closer to real document chunks.</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Enriched embedding vector</w:t>
            </w:r>
          </w:p>
        </w:tc>
      </w:tr>
      <w:tr>
        <w:tc>
          <w:tcPr>
            <w:tcW w:type="dxa" w:w="5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R3</w:t>
            </w:r>
          </w:p>
        </w:tc>
        <w:tc>
          <w:tcPr>
            <w:tcW w:type="dxa" w:w="20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Chunk Retriever (RRF)</w:t>
            </w:r>
          </w:p>
        </w:tc>
        <w:tc>
          <w:tcPr>
            <w:tcW w:type="dxa" w:w="36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Runs two parallel searches: (1) Vector similarity search in ChromaDB filtered to this dept's folders. (2) BM25 keyword search filtered to this dept. Combines results using Reciprocal Rank Fusion (alpha=0.6 vector, 0.4 BM25). Returns top 10 chunks.</w:t>
            </w:r>
          </w:p>
        </w:tc>
        <w:tc>
          <w:tcPr>
            <w:tcW w:type="dxa" w:w="180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Hybrid search catches what pure vector search misses (exact keywords) and what pure keyword search misses (semantic meaning). RRF merges both rankings fairly.</w:t>
            </w:r>
          </w:p>
        </w:tc>
        <w:tc>
          <w:tcPr>
            <w:tcW w:type="dxa" w:w="1460"/>
            <w:tcBorders>
              <w:top w:val="single" w:color="0D9488" w:sz="1"/>
              <w:left w:val="single" w:color="0D9488" w:sz="1"/>
              <w:bottom w:val="single" w:color="0D9488" w:sz="1"/>
              <w:right w:val="single" w:color="0D9488"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Top 10 ranked chunks</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R4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NL Summarizer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The LLM reads the top 10 retrieved chunks and writes a fluent natural language answer grounded only in those chunks. The summary cites its sources. Raw chunk text does not pass forward — only the NL summary moves 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This is the firewall for documents. The LLM gets clean, relevant text. Downstream agents get an NL summary, not raw document fragments.</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NL summary + citations</w:t>
            </w:r>
          </w:p>
        </w:tc>
      </w:tr>
    </w:tbl>
    <w:p/>
    <w:p>
      <w:pPr>
        <w:pStyle w:val="Heading2"/>
        <w:spacing w:after="160" w:before="300"/>
      </w:pPr>
      <w:r>
        <w:rPr>
          <w:rFonts w:ascii="Arial" w:cs="Arial" w:eastAsia="Arial" w:hAnsi="Arial"/>
          <w:b/>
          <w:bCs/>
          <w:color w:val="4F46E5"/>
          <w:sz w:val="30"/>
          <w:szCs w:val="30"/>
        </w:rPr>
        <w:t xml:space="preserve">2.2 Document Ingestion (Before Any Query)</w:t>
      </w:r>
    </w:p>
    <w:p>
      <w:pPr>
        <w:spacing w:after="80" w:before="80"/>
        <w:jc w:val="left"/>
      </w:pPr>
      <w:r>
        <w:rPr>
          <w:rFonts w:ascii="Arial" w:cs="Arial" w:eastAsia="Arial" w:hAnsi="Arial"/>
          <w:b w:val="false"/>
          <w:bCs w:val="false"/>
          <w:color w:val="111827"/>
          <w:sz w:val="20"/>
          <w:szCs w:val="20"/>
        </w:rPr>
        <w:t xml:space="preserve">Before the RAG pipeline can retrieve anything, documents must be ingested. This is a one-time process per document, run when a document is added to the system.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6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Action</w:t>
            </w:r>
          </w:p>
        </w:tc>
        <w:tc>
          <w:tcPr>
            <w:tcW w:type="dxa" w:w="59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w:t>
            </w:r>
          </w:p>
        </w:tc>
      </w:tr>
      <w:tr>
        <w:tc>
          <w:tcPr>
            <w:tcW w:type="dxa" w:w="8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1</w:t>
            </w:r>
          </w:p>
        </w:tc>
        <w:tc>
          <w:tcPr>
            <w:tcW w:type="dxa" w:w="26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Load document</w:t>
            </w:r>
          </w:p>
        </w:tc>
        <w:tc>
          <w:tcPr>
            <w:tcW w:type="dxa" w:w="596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File is loaded from storage — PDF, DOCX, TXT, or other text format. Text is extracted and cleaned of formatting artifacts.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Split into chunks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Document is split into chunks of 512 tokens each, with 64-token overlap between consecutive chunks. The overlap prevents information loss at chunk boundaries — a sentence that starts at the end of one chunk is still captured in the beginning of the next.</w:t>
            </w:r>
          </w:p>
        </w:tc>
      </w:tr>
      <w:tr>
        <w:tc>
          <w:tcPr>
            <w:tcW w:type="dxa" w:w="8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3</w:t>
            </w:r>
          </w:p>
        </w:tc>
        <w:tc>
          <w:tcPr>
            <w:tcW w:type="dxa" w:w="26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Generate embeddings</w:t>
            </w:r>
          </w:p>
        </w:tc>
        <w:tc>
          <w:tcPr>
            <w:tcW w:type="dxa" w:w="596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Each chunk is embedded using OpenAI text-embedding-3-small. This converts the text into a high-dimensional vector that captures its semantic meaning. The same model is used at query time — consistency is essential.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Store with metadata</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Each chunk + its embedding is stored in ChromaDB with metadata: dept_tag (which department owns this), source_file, chunk_index, created_at, doc_type. The dept_tag is the scoping key used at retrieval time.</w:t>
            </w:r>
          </w:p>
        </w:tc>
      </w:tr>
      <w:tr>
        <w:tc>
          <w:tcPr>
            <w:tcW w:type="dxa" w:w="8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5</w:t>
            </w:r>
          </w:p>
        </w:tc>
        <w:tc>
          <w:tcPr>
            <w:tcW w:type="dxa" w:w="260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Index for BM25</w:t>
            </w:r>
          </w:p>
        </w:tc>
        <w:tc>
          <w:tcPr>
            <w:tcW w:type="dxa" w:w="596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The raw text of each chunk is also indexed in the BM25 keyword index, again tagged with dept_tag. This enables the keyword search half of hybrid retrieval.</w:t>
            </w:r>
          </w:p>
        </w:tc>
      </w:tr>
    </w:tbl>
    <w:p/>
    <w:p>
      <w:pPr>
        <w:pStyle w:val="Heading2"/>
        <w:spacing w:after="160" w:before="300"/>
      </w:pPr>
      <w:r>
        <w:rPr>
          <w:rFonts w:ascii="Arial" w:cs="Arial" w:eastAsia="Arial" w:hAnsi="Arial"/>
          <w:b/>
          <w:bCs/>
          <w:color w:val="4F46E5"/>
          <w:sz w:val="30"/>
          <w:szCs w:val="30"/>
        </w:rPr>
        <w:t xml:space="preserve">2.3 Why 512 Tokens / 64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Parameter</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Value</w:t>
            </w:r>
          </w:p>
        </w:tc>
        <w:tc>
          <w:tcPr>
            <w:tcW w:type="dxa" w:w="312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Reasoning</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Chunk size</w:t>
            </w:r>
          </w:p>
        </w:tc>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512 tokens</w:t>
            </w:r>
          </w:p>
        </w:tc>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Large enough to contain a complete thought or data point. Small enough that a retrieved chunk is specific and relevant, not a 3-page dump.</w:t>
            </w:r>
          </w:p>
        </w:tc>
      </w:tr>
      <w:tr>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Overlap</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64 tokens</w:t>
            </w:r>
          </w:p>
        </w:tc>
        <w:tc>
          <w:tcPr>
            <w:tcW w:type="dxa" w:w="312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Prevents loss of information at boundaries. A key fact that starts at token 490 of one chunk is still fully captured in the next chunk's opening 64 tokens.</w:t>
            </w:r>
          </w:p>
        </w:tc>
      </w:tr>
      <w:tr>
        <w:tc>
          <w:tcPr>
            <w:tcW w:type="dxa" w:w="312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Too small chunks (e.g. 128)</w:t>
            </w:r>
          </w:p>
        </w:tc>
        <w:tc>
          <w:tcPr>
            <w:tcW w:type="dxa" w:w="312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Fragments context</w:t>
            </w:r>
          </w:p>
        </w:tc>
        <w:tc>
          <w:tcPr>
            <w:tcW w:type="dxa" w:w="312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A single retrieved chunk lacks enough context. The LLM cannot form a coherent answer from partial sentences.</w:t>
            </w:r>
          </w:p>
        </w:tc>
      </w:tr>
      <w:tr>
        <w:tc>
          <w:tcPr>
            <w:tcW w:type="dxa" w:w="312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Too large chunks (e.g. 2048)</w:t>
            </w:r>
          </w:p>
        </w:tc>
        <w:tc>
          <w:tcPr>
            <w:tcW w:type="dxa" w:w="312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Dilutes precision</w:t>
            </w:r>
          </w:p>
        </w:tc>
        <w:tc>
          <w:tcPr>
            <w:tcW w:type="dxa" w:w="312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A retrieved chunk covers too much ground. Relevance scores are lower, and the LLM must read lots of irrelevant text to find the answer.</w:t>
            </w:r>
          </w:p>
        </w:tc>
      </w:tr>
    </w:tbl>
    <w:p/>
    <w:p>
      <w:pPr>
        <w:pStyle w:val="Heading2"/>
        <w:spacing w:after="160" w:before="300"/>
      </w:pPr>
      <w:r>
        <w:rPr>
          <w:rFonts w:ascii="Arial" w:cs="Arial" w:eastAsia="Arial" w:hAnsi="Arial"/>
          <w:b/>
          <w:bCs/>
          <w:color w:val="4F46E5"/>
          <w:sz w:val="30"/>
          <w:szCs w:val="30"/>
        </w:rPr>
        <w:t xml:space="preserve">2.4 HyDE — Why We Embed the Answer, Not the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DC262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Normal RAG (without HyDE)</w:t>
            </w:r>
          </w:p>
        </w:tc>
        <w:tc>
          <w:tcPr>
            <w:tcW w:type="dxa" w:w="468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RAPID RAG (with HyDE)</w:t>
            </w:r>
          </w:p>
        </w:tc>
      </w:tr>
      <w:tr>
        <w:tc>
          <w:tcPr>
            <w:tcW w:type="dxa" w:w="468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Embed the raw question: 'What is our Q3 revenue?'</w:t>
            </w:r>
          </w:p>
        </w:tc>
        <w:tc>
          <w:tcPr>
            <w:tcW w:type="dxa" w:w="468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Generate hypothetical answer: 'Q3 revenue was approximately $X million, up Y% vs prior year...'</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Question embedding lands in interrogative space — far from document embeddings which are declarative.</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Embed the hypothetical answer. It now lives in declarative document space — much closer to real document chunks.</w:t>
            </w:r>
          </w:p>
        </w:tc>
      </w:tr>
      <w:tr>
        <w:tc>
          <w:tcPr>
            <w:tcW w:type="dxa" w:w="468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Retrieval misses relevant chunks because their embeddings don't match the question-style embedding.</w:t>
            </w:r>
          </w:p>
        </w:tc>
        <w:tc>
          <w:tcPr>
            <w:tcW w:type="dxa" w:w="468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Retrieval finds highly relevant chunks because the hypothetical answer sounds like the real document.</w:t>
            </w:r>
          </w:p>
        </w:tc>
      </w:tr>
      <w:tr>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Works for precise keyword queries. Fails for vague, conversational enterprise questions.</w:t>
            </w:r>
          </w:p>
        </w:tc>
        <w:tc>
          <w:tcPr>
            <w:tcW w:type="dxa" w:w="468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Works especially well for vague enterprise queries like 'how are we doing this quarter?' or 'what's our GDPR status?'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
              <w:bottom w:val="single" w:color="D97706" w:sz="1"/>
              <w:right w:val="single" w:color="D97706" w:sz="1"/>
            </w:tcBorders>
            <w:shd w:fill="FEF3C7" w:val="clear"/>
            <w:tcMar>
              <w:top w:type="dxa" w:w="140"/>
              <w:left w:type="dxa" w:w="200"/>
              <w:bottom w:type="dxa" w:w="140"/>
              <w:right w:type="dxa" w:w="200"/>
            </w:tcMar>
          </w:tcPr>
          <w:p>
            <w:r>
              <w:rPr>
                <w:rFonts w:ascii="Arial" w:cs="Arial" w:eastAsia="Arial" w:hAnsi="Arial"/>
                <w:color w:val="111827"/>
                <w:sz w:val="20"/>
                <w:szCs w:val="20"/>
              </w:rPr>
              <w:t xml:space="preserve">Trade-off: HyDE adds one extra LLM call before retrieval. This costs ~100 tokens and a small amount of latency. RAPID accepts this because a missed relevant chunk means an incomplete or wrong answer — which is a far bigger problem than a slightly slower response.</w:t>
            </w:r>
          </w:p>
        </w:tc>
      </w:tr>
    </w:tbl>
    <w:p/>
    <w:p>
      <w:pPr>
        <w:pStyle w:val="Heading2"/>
        <w:spacing w:after="160" w:before="300"/>
      </w:pPr>
      <w:r>
        <w:rPr>
          <w:rFonts w:ascii="Arial" w:cs="Arial" w:eastAsia="Arial" w:hAnsi="Arial"/>
          <w:b/>
          <w:bCs/>
          <w:color w:val="4F46E5"/>
          <w:sz w:val="30"/>
          <w:szCs w:val="30"/>
        </w:rPr>
        <w:t xml:space="preserve">2.5 Hybrid Search — Vector + BM25 Combined</w:t>
      </w:r>
    </w:p>
    <w:p>
      <w:pPr>
        <w:spacing w:after="80" w:before="80"/>
        <w:jc w:val="left"/>
      </w:pPr>
      <w:r>
        <w:rPr>
          <w:rFonts w:ascii="Arial" w:cs="Arial" w:eastAsia="Arial" w:hAnsi="Arial"/>
          <w:b w:val="false"/>
          <w:bCs w:val="false"/>
          <w:color w:val="111827"/>
          <w:sz w:val="20"/>
          <w:szCs w:val="20"/>
        </w:rPr>
        <w:t xml:space="preserve">RAPID does not rely on vector search alone. It runs two searches simultaneously and combines them. This is called hybrid search.</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w:r>
          </w:p>
        </w:tc>
        <w:tc>
          <w:tcPr>
            <w:tcW w:type="dxa" w:w="3510"/>
            <w:tcBorders>
              <w:top w:val="single" w:color="4F46E5" w:sz="1"/>
              <w:left w:val="single" w:color="4F46E5" w:sz="1"/>
              <w:bottom w:val="single" w:color="4F46E5" w:sz="1"/>
              <w:right w:val="single" w:color="4F46E5" w:sz="1"/>
            </w:tcBorders>
            <w:shd w:fill="4F46E5"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Vector Search</w:t>
            </w:r>
          </w:p>
        </w:tc>
        <w:tc>
          <w:tcPr>
            <w:tcW w:type="dxa" w:w="351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BM25 Keyword Search</w:t>
            </w:r>
          </w:p>
        </w:tc>
      </w:tr>
      <w:tr>
        <w:tc>
          <w:tcPr>
            <w:tcW w:type="dxa" w:w="23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How it works</w:t>
            </w:r>
          </w:p>
        </w:tc>
        <w:tc>
          <w:tcPr>
            <w:tcW w:type="dxa" w:w="351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Converts the query to an embedding and finds chunks with the closest embeddings in vector space.</w:t>
            </w:r>
          </w:p>
        </w:tc>
        <w:tc>
          <w:tcPr>
            <w:tcW w:type="dxa" w:w="351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Counts keyword matches between query and chunk. High-frequency terms in query that appear in the chunk score highly.</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Strength</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Catches semantic meaning — finds relevant chunks even when they use different words.</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Catches exact keyword matches — finds chunks that mention the exact term the user typed.</w:t>
            </w:r>
          </w:p>
        </w:tc>
      </w:tr>
      <w:tr>
        <w:tc>
          <w:tcPr>
            <w:tcW w:type="dxa" w:w="23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Weakness</w:t>
            </w:r>
          </w:p>
        </w:tc>
        <w:tc>
          <w:tcPr>
            <w:tcW w:type="dxa" w:w="351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Misses exact matches when the embedding space doesn't separate them clearly.</w:t>
            </w:r>
          </w:p>
        </w:tc>
        <w:tc>
          <w:tcPr>
            <w:tcW w:type="dxa" w:w="351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Misses semantic matches — a doc about 'salary' won't surface for 'compensation' unless that word also appears.</w:t>
            </w:r>
          </w:p>
        </w:tc>
      </w:tr>
      <w:tr>
        <w:tc>
          <w:tcPr>
            <w:tcW w:type="dxa" w:w="234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Weight in RAPID</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bCs/>
                <w:color w:val="4F46E5"/>
                <w:sz w:val="20"/>
                <w:szCs w:val="20"/>
              </w:rPr>
              <w:t xml:space="preserve">Alpha = 0.6 (60% of combined score)</w:t>
            </w:r>
          </w:p>
        </w:tc>
        <w:tc>
          <w:tcPr>
            <w:tcW w:type="dxa" w:w="3510"/>
            <w:tcBorders>
              <w:top w:val="single" w:color="CCCCCC" w:sz="1"/>
              <w:left w:val="single" w:color="CCCCCC" w:sz="1"/>
              <w:bottom w:val="single" w:color="CCCCCC" w:sz="1"/>
              <w:right w:val="single" w:color="CCCCCC" w:sz="1"/>
            </w:tcBorders>
            <w:tcMar>
              <w:top w:type="dxa" w:w="100"/>
              <w:left w:type="dxa" w:w="150"/>
              <w:bottom w:type="dxa" w:w="100"/>
              <w:right w:type="dxa" w:w="150"/>
            </w:tcMar>
            <w:vAlign w:val="top"/>
          </w:tcPr>
          <w:p>
            <w:pPr>
              <w:jc w:val="left"/>
            </w:pPr>
            <w:r>
              <w:rPr>
                <w:rFonts w:ascii="Arial" w:cs="Arial" w:eastAsia="Arial" w:hAnsi="Arial"/>
                <w:b/>
                <w:bCs/>
                <w:color w:val="0D9488"/>
                <w:sz w:val="20"/>
                <w:szCs w:val="20"/>
              </w:rPr>
              <w:t xml:space="preserve">Alpha = 0.4 (40% of combined score)</w:t>
            </w:r>
          </w:p>
        </w:tc>
      </w:tr>
    </w:tbl>
    <w:p/>
    <w:p>
      <w:pPr>
        <w:pStyle w:val="Heading3"/>
        <w:spacing w:after="120" w:before="220"/>
      </w:pPr>
      <w:r>
        <w:rPr>
          <w:rFonts w:ascii="Arial" w:cs="Arial" w:eastAsia="Arial" w:hAnsi="Arial"/>
          <w:b/>
          <w:bCs/>
          <w:color w:val="374151"/>
          <w:sz w:val="24"/>
          <w:szCs w:val="24"/>
        </w:rPr>
        <w:t xml:space="preserve">Reciprocal Rank Fusion (RRF) — How the Results Are Combined</w:t>
      </w:r>
    </w:p>
    <w:p>
      <w:pPr>
        <w:spacing w:after="80" w:before="80"/>
        <w:jc w:val="left"/>
      </w:pPr>
      <w:r>
        <w:rPr>
          <w:rFonts w:ascii="Arial" w:cs="Arial" w:eastAsia="Arial" w:hAnsi="Arial"/>
          <w:b w:val="false"/>
          <w:bCs w:val="false"/>
          <w:color w:val="111827"/>
          <w:sz w:val="20"/>
          <w:szCs w:val="20"/>
        </w:rPr>
        <w:t xml:space="preserve">After both searches return their ranked lists, RRF combines them into a single ranked list. The formula for each chunk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RRF formula for each chunk</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rrf_score(chunk) = (alpha / (rank_in_vector_results + k))</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((1-alpha) / (rank_in_bm25_results + k))</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RAPID values: alpha=0.6, k=60 (standard constant)</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A chunk ranked #1 in both searches gets the highest combined score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A chunk ranked #1 in vector but #20 in BM25 still scores well overall</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Chunks that only appear in one list get a partial score</w:t>
            </w:r>
          </w:p>
        </w:tc>
      </w:tr>
    </w:tbl>
    <w:p/>
    <w:p>
      <w:pPr>
        <w:pStyle w:val="Heading2"/>
        <w:spacing w:after="160" w:before="300"/>
      </w:pPr>
      <w:r>
        <w:rPr>
          <w:rFonts w:ascii="Arial" w:cs="Arial" w:eastAsia="Arial" w:hAnsi="Arial"/>
          <w:b/>
          <w:bCs/>
          <w:color w:val="4F46E5"/>
          <w:sz w:val="30"/>
          <w:szCs w:val="30"/>
        </w:rPr>
        <w:t xml:space="preserve">2.6 Department Scoping in ChromaDB</w:t>
      </w:r>
    </w:p>
    <w:p>
      <w:pPr>
        <w:spacing w:after="80" w:before="80"/>
        <w:jc w:val="left"/>
      </w:pPr>
      <w:r>
        <w:rPr>
          <w:rFonts w:ascii="Arial" w:cs="Arial" w:eastAsia="Arial" w:hAnsi="Arial"/>
          <w:b w:val="false"/>
          <w:bCs w:val="false"/>
          <w:color w:val="111827"/>
          <w:sz w:val="20"/>
          <w:szCs w:val="20"/>
        </w:rPr>
        <w:t xml:space="preserve">Every chunk stored in ChromaDB has a dept_tag metadata field. At retrieval time, the query is filtered by this tag. A Finance Agent query will only ever retrieve chunks tagged dept=finance. This is not a soft rule — it is a hard metadata filter applied at the database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How dept scoping works in ChromaDB</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results = chroma_collection.query(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query_embeddings=[query_embedding],</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n_results=10,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where={'dept': dept_tag}    # ← HARD FILTER — cannot be bypassed</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Finance Agent call:</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results = chroma.query(embedding, where={'dept': 'finance'})   # only finance chunks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HR Agent call:</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results = chroma.query(embedding, where={'dept': 'hr'})        # only hr chunks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Shared KB accessible by all — stored with dept='shared'</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shared = chroma.query(embedding, where={'dept': 'shared'})</w:t>
            </w:r>
          </w:p>
        </w:tc>
      </w:tr>
    </w:tbl>
    <w:p/>
    <w:p>
      <w:pPr>
        <w:pStyle w:val="Heading2"/>
        <w:spacing w:after="160" w:before="300"/>
      </w:pPr>
      <w:r>
        <w:rPr>
          <w:rFonts w:ascii="Arial" w:cs="Arial" w:eastAsia="Arial" w:hAnsi="Arial"/>
          <w:b/>
          <w:bCs/>
          <w:color w:val="4F46E5"/>
          <w:sz w:val="30"/>
          <w:szCs w:val="30"/>
        </w:rPr>
        <w:t xml:space="preserve">2.7 Complete RAG Pipeline — Python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async def run_rag_pipeline(query: str, dept_tag: str, user_permissions: dict) -&gt; NLResult:</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R1: Classify document types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doc_types = await doc_classifier.classify(query)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e.g. doc_types = ['financial_report', 'budget_plan']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R2: HyDE — embed hypothetical answer, not the question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hyde_prompt = f'Write a short factual answer to: {query}'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hypothetical_answer = await llm.generate(hyde_prompt, max_tokens=150)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query_embedding = await embedder.embed(hypothetical_answer)   # embed ANSWER</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R3: Hybrid search scoped to this department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Vector search — semantic similarity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vector_hits = await chroma.query(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query_embeddings=[query_embedding],</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n_results=20,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where={'dept': dept_tag}</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BM25 keyword search</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bm25_hits = await bm25_index.search(query, dept_tag, top_k=20)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Merge with Reciprocal Rank Fusion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chunks = rrf_combine(vector_hits, bm25_hits, alpha=0.6, top_k=10)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R4: Convert to NL — the document firewall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nl_summary = await llm.summarise(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system='Answer the question using ONLY the provided chunks. Cite sources.',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chunks=chunks,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query=query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sources = [c.metadata['source_file'] for c in chunks]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return NLResult(summary=nl_summary, sources=sources, confidence=score_chunks(chunks, query))</w:t>
            </w:r>
          </w:p>
        </w:tc>
      </w:tr>
    </w:tbl>
    <w:p/>
    <w:p>
      <w:pPr>
        <w:pStyle w:val="Heading2"/>
        <w:spacing w:after="160" w:before="300"/>
      </w:pPr>
      <w:r>
        <w:rPr>
          <w:rFonts w:ascii="Arial" w:cs="Arial" w:eastAsia="Arial" w:hAnsi="Arial"/>
          <w:b/>
          <w:bCs/>
          <w:color w:val="4F46E5"/>
          <w:sz w:val="30"/>
          <w:szCs w:val="30"/>
        </w:rPr>
        <w:t xml:space="preserve">2.8 Edge Cases and How They Are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Situation</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RAPID Handles It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No relevant chunks found</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If top chunk relevance score is below threshold, RAG pipeline returns low confidence signal. Fusion Agent may trigger Web Agent fallback or escalate.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Query spans multiple doc types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Document Classifier tags multiple doc_type values. Retrieval searches across all tagged types within the dept scope. Top 10 across all types.</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User uploads their own document</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User-uploaded documents follow a separate pipeline with no dept restriction — they belong to the user, not a department. The user can query their own uploads alongside dept results.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Document is updated/replaced</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Old chunks are deleted from ChromaDB by source_file ID. New document is re-ingested from scratch. No stale chunks remain.</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Query is in a different language</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Embeddings are multilingual (text-embedding-3-small supports 100+ languages). HyDE generates the hypothetical answer in the same language as the query. Retrieval works across languages.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Very long document (100+ pages)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Split into the standard 512-token chunks normally. A 100-page document produces ~700 chunks. All stored. Retrieval still returns top 10 most relevant — document length does not degrade retrieval quality.</w:t>
            </w:r>
          </w:p>
        </w:tc>
      </w:tr>
    </w:tbl>
    <w:p>
      <w:r>
        <w:br w:type="page"/>
      </w:r>
    </w:p>
    <w:p>
      <w:pPr>
        <w:pStyle w:val="Heading1"/>
        <w:pBdr>
          <w:bottom w:val="single" w:color="4F46E5" w:sz="6" w:space="4"/>
        </w:pBdr>
        <w:spacing w:after="200" w:before="400"/>
      </w:pPr>
      <w:r>
        <w:rPr>
          <w:rFonts w:ascii="Arial" w:cs="Arial" w:eastAsia="Arial" w:hAnsi="Arial"/>
          <w:b/>
          <w:bCs/>
          <w:color w:val="1A1A2E"/>
          <w:sz w:val="44"/>
          <w:szCs w:val="44"/>
        </w:rPr>
        <w:t xml:space="preserve">3. Structured Data — The DB Pipeline</w:t>
      </w:r>
    </w:p>
    <w:p>
      <w:pPr>
        <w:spacing w:after="80" w:before="80"/>
        <w:jc w:val="left"/>
      </w:pPr>
      <w:r>
        <w:rPr>
          <w:rFonts w:ascii="Arial" w:cs="Arial" w:eastAsia="Arial" w:hAnsi="Arial"/>
          <w:b w:val="false"/>
          <w:bCs w:val="false"/>
          <w:color w:val="111827"/>
          <w:sz w:val="20"/>
          <w:szCs w:val="20"/>
        </w:rPr>
        <w:t xml:space="preserve">Structured data means databases: tables with rows and columns — salary records, financial figures, CRM data, compliance records, KPI metrics. The DB pipeline is how RAPID queries these databases safely and ensures raw data is destroyed before it ever reaches the LLM.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40"/>
              <w:left w:type="dxa" w:w="200"/>
              <w:bottom w:type="dxa" w:w="140"/>
              <w:right w:type="dxa" w:w="200"/>
            </w:tcMar>
          </w:tcPr>
          <w:p>
            <w:r>
              <w:rPr>
                <w:rFonts w:ascii="Arial" w:cs="Arial" w:eastAsia="Arial" w:hAnsi="Arial"/>
                <w:color w:val="DC2626"/>
                <w:sz w:val="20"/>
                <w:szCs w:val="20"/>
              </w:rPr>
              <w:t xml:space="preserve">This is where the Prompt-Level Data Firewall is most critical. A raw database row containing a salary figure, a contract value, or a patient record is the most sensitive data in the enterprise. The DB pipeline ensures the LLM never sees any of it.</w:t>
            </w:r>
          </w:p>
        </w:tc>
      </w:tr>
    </w:tbl>
    <w:p/>
    <w:p>
      <w:pPr>
        <w:pStyle w:val="Heading2"/>
        <w:spacing w:after="160" w:before="300"/>
      </w:pPr>
      <w:r>
        <w:rPr>
          <w:rFonts w:ascii="Arial" w:cs="Arial" w:eastAsia="Arial" w:hAnsi="Arial"/>
          <w:b/>
          <w:bCs/>
          <w:color w:val="4F46E5"/>
          <w:sz w:val="30"/>
          <w:szCs w:val="30"/>
        </w:rPr>
        <w:t xml:space="preserve">3.1 The 5-Stage DB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660"/>
        <w:gridCol w:w="1800"/>
        <w:gridCol w:w="1400"/>
      </w:tblGrid>
      <w:tr>
        <w:tc>
          <w:tcPr>
            <w:tcW w:type="dxa" w:w="500"/>
            <w:tcBorders>
              <w:top w:val="single" w:color="D97706" w:sz="1"/>
              <w:left w:val="single" w:color="D97706" w:sz="1"/>
              <w:bottom w:val="single" w:color="D97706" w:sz="1"/>
              <w:right w:val="single" w:color="D97706" w:sz="1"/>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Stage</w:t>
            </w:r>
          </w:p>
        </w:tc>
        <w:tc>
          <w:tcPr>
            <w:tcW w:type="dxa" w:w="2000"/>
            <w:tcBorders>
              <w:top w:val="single" w:color="D97706" w:sz="1"/>
              <w:left w:val="single" w:color="D97706" w:sz="1"/>
              <w:bottom w:val="single" w:color="D97706" w:sz="1"/>
              <w:right w:val="single" w:color="D97706" w:sz="1"/>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Component</w:t>
            </w:r>
          </w:p>
        </w:tc>
        <w:tc>
          <w:tcPr>
            <w:tcW w:type="dxa" w:w="3660"/>
            <w:tcBorders>
              <w:top w:val="single" w:color="D97706" w:sz="1"/>
              <w:left w:val="single" w:color="D97706" w:sz="1"/>
              <w:bottom w:val="single" w:color="D97706" w:sz="1"/>
              <w:right w:val="single" w:color="D97706" w:sz="1"/>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It Does</w:t>
            </w:r>
          </w:p>
        </w:tc>
        <w:tc>
          <w:tcPr>
            <w:tcW w:type="dxa" w:w="1800"/>
            <w:tcBorders>
              <w:top w:val="single" w:color="D97706" w:sz="1"/>
              <w:left w:val="single" w:color="D97706" w:sz="1"/>
              <w:bottom w:val="single" w:color="D97706" w:sz="1"/>
              <w:right w:val="single" w:color="D97706" w:sz="1"/>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Why It Matters</w:t>
            </w:r>
          </w:p>
        </w:tc>
        <w:tc>
          <w:tcPr>
            <w:tcW w:type="dxa" w:w="1400"/>
            <w:tcBorders>
              <w:top w:val="single" w:color="D97706" w:sz="1"/>
              <w:left w:val="single" w:color="D97706" w:sz="1"/>
              <w:bottom w:val="single" w:color="D97706" w:sz="1"/>
              <w:right w:val="single" w:color="D97706" w:sz="1"/>
            </w:tcBorders>
            <w:shd w:fill="D9770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Output</w:t>
            </w:r>
          </w:p>
        </w:tc>
      </w:tr>
      <w:tr>
        <w:tc>
          <w:tcPr>
            <w:tcW w:type="dxa" w:w="5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D1</w:t>
            </w:r>
          </w:p>
        </w:tc>
        <w:tc>
          <w:tcPr>
            <w:tcW w:type="dxa" w:w="20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Information Extractor</w:t>
            </w:r>
          </w:p>
        </w:tc>
        <w:tc>
          <w:tcPr>
            <w:tcW w:type="dxa" w:w="36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LLM reads the query and extracts a structured semantic description of what data is needed — what fields, what filters (date ranges, names, categories), what aggregations (sum, count, average). No SQL generated yet.</w:t>
            </w:r>
          </w:p>
        </w:tc>
        <w:tc>
          <w:tcPr>
            <w:tcW w:type="dxa" w:w="18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Separates intent from SQL generation. Cleaner, safer SQL generation in D3.</w:t>
            </w:r>
          </w:p>
        </w:tc>
        <w:tc>
          <w:tcPr>
            <w:tcW w:type="dxa" w:w="146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IntentObject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D2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Schema Analyzer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Reads a pre-cached schema file to identify available tables and column names for this department. This step does NOT use the LLM — schema lookup is fully deterministic. Maps the intent to real table/column names.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LLMs hallucinate column names. Using a pre-cached deterministic lookup eliminates this risk entirely.</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SchemaMapping</w:t>
            </w:r>
          </w:p>
        </w:tc>
      </w:tr>
      <w:tr>
        <w:tc>
          <w:tcPr>
            <w:tcW w:type="dxa" w:w="5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D3</w:t>
            </w:r>
          </w:p>
        </w:tc>
        <w:tc>
          <w:tcPr>
            <w:tcW w:type="dxa" w:w="20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Query Writer</w:t>
            </w:r>
          </w:p>
        </w:tc>
        <w:tc>
          <w:tcPr>
            <w:tcW w:type="dxa" w:w="36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LLM generates a SELECT SQL query from the intent and schema mapping. System prompt explicitly forbids INSERT, UPDATE, DELETE, DROP, and schema modifications. User permission object constrains which columns can appear in the SELECT clause.</w:t>
            </w:r>
          </w:p>
        </w:tc>
        <w:tc>
          <w:tcPr>
            <w:tcW w:type="dxa" w:w="18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Read-only enforced. Permissions filter the SELECT clause — a user without salary access cannot see salary columns even if they try.</w:t>
            </w:r>
          </w:p>
        </w:tc>
        <w:tc>
          <w:tcPr>
            <w:tcW w:type="dxa" w:w="146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SQL string</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D4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Result Verifier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Validates the SQL statically before running it: confirms SELECT only, checks all tables are permitted, checks no system tables referenced. Executes on read-only DB connection. Checks results for nulls, empty sets, type anomalies.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Two-layer safety: static analysis before execution, result validation after. Catches both bad SQL and bad results.</w:t>
            </w:r>
          </w:p>
        </w:tc>
        <w:tc>
          <w:tcPr>
            <w:tcW w:type="dxa" w:w="14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Raw result rows</w:t>
            </w:r>
          </w:p>
        </w:tc>
      </w:tr>
      <w:tr>
        <w:tc>
          <w:tcPr>
            <w:tcW w:type="dxa" w:w="5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center"/>
            </w:pPr>
            <w:r>
              <w:rPr>
                <w:rFonts w:ascii="Arial" w:cs="Arial" w:eastAsia="Arial" w:hAnsi="Arial"/>
                <w:b/>
                <w:bCs/>
                <w:color w:val="111827"/>
                <w:sz w:val="20"/>
                <w:szCs w:val="20"/>
              </w:rPr>
              <w:t xml:space="preserve">D5</w:t>
            </w:r>
          </w:p>
        </w:tc>
        <w:tc>
          <w:tcPr>
            <w:tcW w:type="dxa" w:w="20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Governance Filter + NL + Destroy</w:t>
            </w:r>
          </w:p>
        </w:tc>
        <w:tc>
          <w:tcPr>
            <w:tcW w:type="dxa" w:w="36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Applies Constitution rules column by column: ALLOW (pass), ANONYMIZE (hash/aggregate), BLOCK (remove). Converts governed rows to NL summary. Immediately destroys raw data. LLM only ever sees governed values — never raw rows, never column names.</w:t>
            </w:r>
          </w:p>
        </w:tc>
        <w:tc>
          <w:tcPr>
            <w:tcW w:type="dxa" w:w="180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This is the Prompt-Level Data Firewall in action. After this step, raw data cannot be recovered from within the pipeline.</w:t>
            </w:r>
          </w:p>
        </w:tc>
        <w:tc>
          <w:tcPr>
            <w:tcW w:type="dxa" w:w="1460"/>
            <w:tcBorders>
              <w:top w:val="single" w:color="D97706" w:sz="1"/>
              <w:left w:val="single" w:color="D97706" w:sz="1"/>
              <w:bottom w:val="single" w:color="D97706" w:sz="1"/>
              <w:right w:val="single" w:color="D97706"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NL summary (raw gone)</w:t>
            </w:r>
          </w:p>
        </w:tc>
      </w:tr>
    </w:tbl>
    <w:p/>
    <w:p>
      <w:pPr>
        <w:pStyle w:val="Heading2"/>
        <w:spacing w:after="160" w:before="300"/>
      </w:pPr>
      <w:r>
        <w:rPr>
          <w:rFonts w:ascii="Arial" w:cs="Arial" w:eastAsia="Arial" w:hAnsi="Arial"/>
          <w:b/>
          <w:bCs/>
          <w:color w:val="4F46E5"/>
          <w:sz w:val="30"/>
          <w:szCs w:val="30"/>
        </w:rPr>
        <w:t xml:space="preserve">3.2 D1 — Information Extractor in Detail</w:t>
      </w:r>
    </w:p>
    <w:p>
      <w:pPr>
        <w:spacing w:after="80" w:before="80"/>
        <w:jc w:val="left"/>
      </w:pPr>
      <w:r>
        <w:rPr>
          <w:rFonts w:ascii="Arial" w:cs="Arial" w:eastAsia="Arial" w:hAnsi="Arial"/>
          <w:b w:val="false"/>
          <w:bCs w:val="false"/>
          <w:color w:val="111827"/>
          <w:sz w:val="20"/>
          <w:szCs w:val="20"/>
        </w:rPr>
        <w:t xml:space="preserve">The key design decision in D1 is that we do NOT generate SQL directly from the query. We generate an intermediate IntentObject first. This separation makes SQL generation in D3 safer and more 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D1 — What it produces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Input query: 'What was total Q3 revenue by product line?'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intent =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'fields_needed': ['revenue', 'product_line'],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'aggregation':   'SUM(revenue) GROUP BY product_line',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'filters':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'time_period': 'Q3 2026',</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'date_range':  '2026-07-01 to 2026-09-30'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'sort':    'revenue DESC',</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'limit':    50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This IntentObject — NOT raw query text — goes to D2 and D3</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The LLM generating SQL sees structured intent, not ambiguous natural language</w:t>
            </w:r>
          </w:p>
        </w:tc>
      </w:tr>
    </w:tbl>
    <w:p/>
    <w:p>
      <w:pPr>
        <w:pStyle w:val="Heading2"/>
        <w:spacing w:after="160" w:before="300"/>
      </w:pPr>
      <w:r>
        <w:rPr>
          <w:rFonts w:ascii="Arial" w:cs="Arial" w:eastAsia="Arial" w:hAnsi="Arial"/>
          <w:b/>
          <w:bCs/>
          <w:color w:val="4F46E5"/>
          <w:sz w:val="30"/>
          <w:szCs w:val="30"/>
        </w:rPr>
        <w:t xml:space="preserve">3.3 D2 — Schema Analyzer in Detail</w:t>
      </w:r>
    </w:p>
    <w:p>
      <w:pPr>
        <w:spacing w:after="80" w:before="80"/>
        <w:jc w:val="left"/>
      </w:pPr>
      <w:r>
        <w:rPr>
          <w:rFonts w:ascii="Arial" w:cs="Arial" w:eastAsia="Arial" w:hAnsi="Arial"/>
          <w:b w:val="false"/>
          <w:bCs w:val="false"/>
          <w:color w:val="111827"/>
          <w:sz w:val="20"/>
          <w:szCs w:val="20"/>
        </w:rPr>
        <w:t xml:space="preserve">Schema reading is fully deterministic — no LLM involved. The schema is pre-cached as a JSON file at deployment time. The analyzer maps the intent fields to real column names. This eliminates hallucinated column names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D2 — Schema cache structure (loaded at startup, not from live DB)</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schema_cache =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'finance':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'financials':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'columns': ['id','date','revenue','gross_margin','net_income',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'product_line','region','cost_of_goods'],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'permitted_for': ['finance_agent','db_master']</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'invoices':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'columns': ['id','invoice_date','amount','client_id','status'],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'permitted_for': ['finance_agent']</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D2 maps intent fields to real columns: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intent.fields_needed = ['revenue', 'product_line']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maps to financials.revenue, financials.product_line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if intent asks for 'salary' in finance scope → not in schema → flagged</w:t>
            </w:r>
          </w:p>
        </w:tc>
      </w:tr>
    </w:tbl>
    <w:p/>
    <w:p>
      <w:pPr>
        <w:pStyle w:val="Heading2"/>
        <w:spacing w:after="160" w:before="300"/>
      </w:pPr>
      <w:r>
        <w:rPr>
          <w:rFonts w:ascii="Arial" w:cs="Arial" w:eastAsia="Arial" w:hAnsi="Arial"/>
          <w:b/>
          <w:bCs/>
          <w:color w:val="4F46E5"/>
          <w:sz w:val="30"/>
          <w:szCs w:val="30"/>
        </w:rPr>
        <w:t xml:space="preserve">3.4 D3 — Query Writer in Detail</w:t>
      </w:r>
    </w:p>
    <w:p>
      <w:pPr>
        <w:spacing w:after="80" w:before="80"/>
        <w:jc w:val="left"/>
      </w:pPr>
      <w:r>
        <w:rPr>
          <w:rFonts w:ascii="Arial" w:cs="Arial" w:eastAsia="Arial" w:hAnsi="Arial"/>
          <w:b w:val="false"/>
          <w:bCs w:val="false"/>
          <w:color w:val="111827"/>
          <w:sz w:val="20"/>
          <w:szCs w:val="20"/>
        </w:rPr>
        <w:t xml:space="preserve">D3 generates the SQL using the IntentObject and SchemaMapping. The LLM system prompt is strict — it enforces read-only queries and filters columns by user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D3 — SQL generation system prompt (simplified)</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system_prompt =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You are a SQL generator. You ONLY write SELECT queries.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NEVER write INSERT, UPDATE, DELETE, DROP, ALTER, TRUNCATE, CREATE.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NEVER reference system tables (information_schema, pg_catalog, etc).</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NEVER use subqueries that modify data.</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Only use these tables and columns: {schema_mapping}</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Only include these columns in SELECT: {permitted_columns_for_user}</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Always add a LIMIT clause. Maximum 1000 rows.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Output ONLY the SQL. No explanation.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Output for our example: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SELECT product_line, SUM(revenue) as total_revenue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FROM financials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WHERE date &gt;= '2026-07-01' AND date &lt;= '2026-09-30'</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GROUP BY product_line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ORDER BY total_revenue DESC</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LIMIT 50</w:t>
            </w:r>
          </w:p>
        </w:tc>
      </w:tr>
    </w:tbl>
    <w:p/>
    <w:p>
      <w:pPr>
        <w:pStyle w:val="Heading2"/>
        <w:spacing w:after="160" w:before="300"/>
      </w:pPr>
      <w:r>
        <w:rPr>
          <w:rFonts w:ascii="Arial" w:cs="Arial" w:eastAsia="Arial" w:hAnsi="Arial"/>
          <w:b/>
          <w:bCs/>
          <w:color w:val="4F46E5"/>
          <w:sz w:val="30"/>
          <w:szCs w:val="30"/>
        </w:rPr>
        <w:t xml:space="preserve">3.5 D4 — Result Verifier in Detail</w:t>
      </w:r>
    </w:p>
    <w:p>
      <w:pPr>
        <w:spacing w:after="80" w:before="80"/>
        <w:jc w:val="left"/>
      </w:pPr>
      <w:r>
        <w:rPr>
          <w:rFonts w:ascii="Arial" w:cs="Arial" w:eastAsia="Arial" w:hAnsi="Arial"/>
          <w:b w:val="false"/>
          <w:bCs w:val="false"/>
          <w:color w:val="111827"/>
          <w:sz w:val="20"/>
          <w:szCs w:val="20"/>
        </w:rPr>
        <w:t xml:space="preserve">D4 has two jobs: validate the SQL before running it, and validate the results after running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Static Validation (before execution)</w:t>
            </w:r>
          </w:p>
        </w:tc>
        <w:tc>
          <w:tcPr>
            <w:tcW w:type="dxa" w:w="468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Result Validation (after execution)</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Confirm SQL starts with SELECT</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Check result set is not empty — flag if zero rows returned</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Confirm no INSERT/UPDATE/DELETE/DROP anywhere in the string</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Check for unexpected null values in key fields</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Confirm all table names are in permitted schema</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Check data types match expected — flag anomalies</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Confirm no system table references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Check row count is within permitted LIMIT</w:t>
            </w:r>
          </w:p>
        </w:tc>
      </w:tr>
      <w:tr>
        <w:tc>
          <w:tcPr>
            <w:tcW w:type="dxa" w:w="4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Confirm LIMIT clause exists</w:t>
            </w:r>
          </w:p>
        </w:tc>
        <w:tc>
          <w:tcPr>
            <w:tcW w:type="dxa" w:w="468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If any check fails — return empty_result with reason, do not pass bad data to D5</w:t>
            </w:r>
          </w:p>
        </w:tc>
      </w:tr>
    </w:tbl>
    <w:p/>
    <w:p>
      <w:pPr>
        <w:pStyle w:val="Heading2"/>
        <w:spacing w:after="160" w:before="300"/>
      </w:pPr>
      <w:r>
        <w:rPr>
          <w:rFonts w:ascii="Arial" w:cs="Arial" w:eastAsia="Arial" w:hAnsi="Arial"/>
          <w:b/>
          <w:bCs/>
          <w:color w:val="4F46E5"/>
          <w:sz w:val="30"/>
          <w:szCs w:val="30"/>
        </w:rPr>
        <w:t xml:space="preserve">3.6 D5 — Governance Filter + NL Conversion + Destroy</w:t>
      </w:r>
    </w:p>
    <w:p>
      <w:pPr>
        <w:spacing w:after="80" w:before="80"/>
        <w:jc w:val="left"/>
      </w:pPr>
      <w:r>
        <w:rPr>
          <w:rFonts w:ascii="Arial" w:cs="Arial" w:eastAsia="Arial" w:hAnsi="Arial"/>
          <w:b w:val="false"/>
          <w:bCs w:val="false"/>
          <w:color w:val="111827"/>
          <w:sz w:val="20"/>
          <w:szCs w:val="20"/>
        </w:rPr>
        <w:t xml:space="preserve">D5 is the most important stage. Three things happen in strict sequence — governance, NL conversion, then destruction of raw data.</w:t>
      </w:r>
    </w:p>
    <w:p/>
    <w:p>
      <w:pPr>
        <w:pStyle w:val="Heading3"/>
        <w:spacing w:after="120" w:before="220"/>
      </w:pPr>
      <w:r>
        <w:rPr>
          <w:rFonts w:ascii="Arial" w:cs="Arial" w:eastAsia="Arial" w:hAnsi="Arial"/>
          <w:b/>
          <w:bCs/>
          <w:color w:val="374151"/>
          <w:sz w:val="24"/>
          <w:szCs w:val="24"/>
        </w:rPr>
        <w:t xml:space="preserve">Step 1 — Governance Filter (Column by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Rule</w:t>
            </w:r>
          </w:p>
        </w:tc>
        <w:tc>
          <w:tcPr>
            <w:tcW w:type="dxa" w:w="22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What Happens to the Data</w:t>
            </w:r>
          </w:p>
        </w:tc>
        <w:tc>
          <w:tcPr>
            <w:tcW w:type="dxa" w:w="536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bCs/>
                <w:color w:val="16A34A"/>
                <w:sz w:val="20"/>
                <w:szCs w:val="20"/>
              </w:rPr>
              <w:t xml:space="preserve">ALLOW</w:t>
            </w:r>
          </w:p>
        </w:tc>
        <w:tc>
          <w:tcPr>
            <w:tcW w:type="dxa" w:w="220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Passes through unchanged to NL conversion.</w:t>
            </w:r>
          </w:p>
        </w:tc>
        <w:tc>
          <w:tcPr>
            <w:tcW w:type="dxa" w:w="5360"/>
            <w:tcBorders>
              <w:top w:val="single" w:color="CCCCCC" w:sz="1"/>
              <w:left w:val="single" w:color="CCCCCC" w:sz="1"/>
              <w:bottom w:val="single" w:color="CCCCCC" w:sz="1"/>
              <w:right w:val="single" w:color="CCCCCC" w:sz="1"/>
            </w:tcBorders>
            <w:shd w:fill="DCFCE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Revenue column for a Finance user → passed as-is. The LLM will see this value.</w:t>
            </w:r>
          </w:p>
        </w:tc>
      </w:tr>
      <w:tr>
        <w:tc>
          <w:tcPr>
            <w:tcW w:type="dxa" w:w="18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bCs/>
                <w:color w:val="D97706"/>
                <w:sz w:val="20"/>
                <w:szCs w:val="20"/>
              </w:rPr>
              <w:t xml:space="preserve">ANONYMIZE</w:t>
            </w:r>
          </w:p>
        </w:tc>
        <w:tc>
          <w:tcPr>
            <w:tcW w:type="dxa" w:w="220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Individual values transformed to aggregates or hashed before NL conversion.</w:t>
            </w:r>
          </w:p>
        </w:tc>
        <w:tc>
          <w:tcPr>
            <w:tcW w:type="dxa" w:w="536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HR query returns 50 employee rows. Salary column: each individual value replaced by team average. LLM sees average, not individual salaries.</w:t>
            </w:r>
          </w:p>
        </w:tc>
      </w:tr>
      <w:tr>
        <w:tc>
          <w:tcPr>
            <w:tcW w:type="dxa" w:w="18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bCs/>
                <w:color w:val="DC2626"/>
                <w:sz w:val="20"/>
                <w:szCs w:val="20"/>
              </w:rPr>
              <w:t xml:space="preserve">BLOCK</w:t>
            </w:r>
          </w:p>
        </w:tc>
        <w:tc>
          <w:tcPr>
            <w:tcW w:type="dxa" w:w="220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Column removed from result entirely. Its existence is not mentioned in the NL summary.</w:t>
            </w:r>
          </w:p>
        </w:tc>
        <w:tc>
          <w:tcPr>
            <w:tcW w:type="dxa" w:w="5360"/>
            <w:tcBorders>
              <w:top w:val="single" w:color="CCCCCC" w:sz="1"/>
              <w:left w:val="single" w:color="CCCCCC" w:sz="1"/>
              <w:bottom w:val="single" w:color="CCCCCC" w:sz="1"/>
              <w:right w:val="single" w:color="CCCCCC" w:sz="1"/>
            </w:tcBorders>
            <w:shd w:fill="FEE2E2"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Executive compensation column → removed entirely. If query asked for it, NL summary says 'that information is not available at your access level.' Blocked event logged.</w:t>
            </w:r>
          </w:p>
        </w:tc>
      </w:tr>
    </w:tbl>
    <w:p/>
    <w:p>
      <w:pPr>
        <w:pStyle w:val="Heading3"/>
        <w:spacing w:after="120" w:before="220"/>
      </w:pPr>
      <w:r>
        <w:rPr>
          <w:rFonts w:ascii="Arial" w:cs="Arial" w:eastAsia="Arial" w:hAnsi="Arial"/>
          <w:b/>
          <w:bCs/>
          <w:color w:val="374151"/>
          <w:sz w:val="24"/>
          <w:szCs w:val="24"/>
        </w:rPr>
        <w:t xml:space="preserve">Step 2 — NL Conversion (The Firewall Moment)</w:t>
      </w:r>
    </w:p>
    <w:p>
      <w:pPr>
        <w:spacing w:after="80" w:before="80"/>
        <w:jc w:val="left"/>
      </w:pPr>
      <w:r>
        <w:rPr>
          <w:rFonts w:ascii="Arial" w:cs="Arial" w:eastAsia="Arial" w:hAnsi="Arial"/>
          <w:b w:val="false"/>
          <w:bCs w:val="false"/>
          <w:color w:val="111827"/>
          <w:sz w:val="20"/>
          <w:szCs w:val="20"/>
        </w:rPr>
        <w:t xml:space="preserve">After governance, the LLM converts the governed result rows into a natural language answer. This is the ONLY moment the LLM touches database-derived data — and it only sees governed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Step 2 — NL conversion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governed_rows at this point:</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[('Enterprise Software', 2_100_000), ('Consumer Hardware', 1_450_000),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(only ALLOWED columns remain — no blocked or sensitive fields)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nl_summary = await llm.generate(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system='Convert this data table into a clear natural language summary answering the question.',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user=f'Question: {query}\nData: {governed_rows}'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LLM output: 'Q3 2026 revenue by product line: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Enterprise Software: $2.1M (highest performer)</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Consumer Hardware: $1.45M</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w:t>
            </w:r>
          </w:p>
        </w:tc>
      </w:tr>
    </w:tbl>
    <w:p/>
    <w:p>
      <w:pPr>
        <w:pStyle w:val="Heading3"/>
        <w:spacing w:after="120" w:before="220"/>
      </w:pPr>
      <w:r>
        <w:rPr>
          <w:rFonts w:ascii="Arial" w:cs="Arial" w:eastAsia="Arial" w:hAnsi="Arial"/>
          <w:b/>
          <w:bCs/>
          <w:color w:val="374151"/>
          <w:sz w:val="24"/>
          <w:szCs w:val="24"/>
        </w:rPr>
        <w:t xml:space="preserve">Step 3 — Raw Data Destruction</w:t>
      </w:r>
    </w:p>
    <w:p>
      <w:pPr>
        <w:spacing w:after="80" w:before="80"/>
        <w:jc w:val="left"/>
      </w:pPr>
      <w:r>
        <w:rPr>
          <w:rFonts w:ascii="Arial" w:cs="Arial" w:eastAsia="Arial" w:hAnsi="Arial"/>
          <w:b w:val="false"/>
          <w:bCs w:val="false"/>
          <w:color w:val="111827"/>
          <w:sz w:val="20"/>
          <w:szCs w:val="20"/>
        </w:rPr>
        <w:t xml:space="preserve">Immediately after NL conversion, all references to raw and governed data are explicitly destroyed. This is the Prompt-Level Data Firewall completing its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Step 3 — Destruction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del raw_result_rows      # raw DB output — gone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del governed_rows        # post-governance rows — gone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raw_result_rows = None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governed_rows   = None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Only nl_summary survives and moves forward</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return NLResult(summary=nl_summary, source='database')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What the Fusion Agent receives: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nl_summary = 'Q3 2026 revenue by product line: Enterprise Software $2.1M...'</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What the Fusion Agent does NOT receive: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No table names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No column names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No raw row data</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No schema information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No database connection details</w:t>
            </w:r>
          </w:p>
        </w:tc>
      </w:tr>
    </w:tbl>
    <w:p/>
    <w:p>
      <w:pPr>
        <w:pStyle w:val="Heading2"/>
        <w:spacing w:after="160" w:before="300"/>
      </w:pPr>
      <w:r>
        <w:rPr>
          <w:rFonts w:ascii="Arial" w:cs="Arial" w:eastAsia="Arial" w:hAnsi="Arial"/>
          <w:b/>
          <w:bCs/>
          <w:color w:val="4F46E5"/>
          <w:sz w:val="30"/>
          <w:szCs w:val="30"/>
        </w:rPr>
        <w:t xml:space="preserve">3.7 Complete DB Pipeline — Python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async def run_db_pipeline(query: str, dept_tag: str, user_permissions: dict) -&gt; NLResult:</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D1: Extract intent (NO SQL yet)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intent = await llm.extract_intent(query)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Returns structured IntentObject — fields, filters, aggregations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D2: Read schema (NO LLM — deterministic)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schema = schema_cache.get(dept_tag)          # pre-loaded JSON, never live 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schema_mapping = schema.map_intent(intent)   # maps intent fields → real columns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D3: Generate SQL (read-only enforced)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permitted_cols = user_permissions.get_allowed_columns(dept_tag, schema)</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sql = await llm.generate_sql(intent, schema_mapping, permitted_cols)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D4: Validate and execute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validate_sql(sql, schema)             # static check — raises SecurityException if bad</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raw_rows = await db.execute(sql)      # read-only connection, 30s timeout</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verify_results(raw_rows)              # check for nulls, empty sets, type errors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 D5: Govern → NL → DESTROY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governed = governance_filter.apply(raw_rows, user_permissions, dept_tag)</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governed: ALLOW columns pass, ANONYMIZE columns transformed, BLOCK columns removed</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nl_summary = await llm.to_nl(governed, 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LLM converts governed rows → natural language. Sees governed values only.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del raw_rows, governed               # THE FIREWALL — raw data destroyed</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raw_rows = governed = None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return NLResult(summary=nl_summary, source='database')</w:t>
            </w:r>
          </w:p>
        </w:tc>
      </w:tr>
    </w:tbl>
    <w:p/>
    <w:p>
      <w:pPr>
        <w:pStyle w:val="Heading2"/>
        <w:spacing w:after="160" w:before="300"/>
      </w:pPr>
      <w:r>
        <w:rPr>
          <w:rFonts w:ascii="Arial" w:cs="Arial" w:eastAsia="Arial" w:hAnsi="Arial"/>
          <w:b/>
          <w:bCs/>
          <w:color w:val="4F46E5"/>
          <w:sz w:val="30"/>
          <w:szCs w:val="30"/>
        </w:rPr>
        <w:t xml:space="preserve">3.8 Edge Cases and How They Are Handled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Situation</w:t>
            </w:r>
          </w:p>
        </w:tc>
        <w:tc>
          <w:tcPr>
            <w:tcW w:type="dxa" w:w="624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How RAPID Handles It</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SQL query returns zero rows</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D4 returns empty_result signal. NL summary says 'No data found matching your query for [period/filter].' Confidence score drops — may trigger fallback.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User asks for individual salary</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D3 generates SQL with salary column. D5 Governance Filter detects ANONYMIZE rule on salary. All individual values replaced with department average before NL conversion. User receives team average, not individual data.</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User asks for blocked data (e.g. exec comp)</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D3 generates SQL. D5 Governance Filter detects BLOCK rule. Column removed from governed result. NL summary: 'That information is not available at your access level.' Blocked access logged to audit.</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Query joins two tables from different depts</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D2 Schema Analyzer detects that one table is not in this dept's permitted schema. Returns SchemaError. D3 never generates the cross-dept join. Query is flagged.</w:t>
            </w:r>
          </w:p>
        </w:tc>
      </w:tr>
      <w:tr>
        <w:tc>
          <w:tcPr>
            <w:tcW w:type="dxa" w:w="312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SQL execution times out (&gt;30 seconds)</w:t>
            </w:r>
          </w:p>
        </w:tc>
        <w:tc>
          <w:tcPr>
            <w:tcW w:type="dxa" w:w="624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Query is killed. D4 returns timeout_error. NL summary: 'Query timed out — try narrowing the date range or adding a filter.' Timeout logged.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LLM generates invalid SQL in D3</w:t>
            </w:r>
          </w:p>
        </w:tc>
        <w:tc>
          <w:tcPr>
            <w:tcW w:type="dxa" w:w="62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D4 static validation catches it before execution. Query not run. D3 is called again with the validation error message added to the prompt. Maximum 2 retries before fallback.</w:t>
            </w:r>
          </w:p>
        </w:tc>
      </w:tr>
    </w:tbl>
    <w:p/>
    <w:p>
      <w:pPr>
        <w:pStyle w:val="Heading1"/>
        <w:pBdr>
          <w:bottom w:val="single" w:color="4F46E5" w:sz="6" w:space="4"/>
        </w:pBdr>
        <w:spacing w:after="200" w:before="400"/>
      </w:pPr>
      <w:r>
        <w:rPr>
          <w:rFonts w:ascii="Arial" w:cs="Arial" w:eastAsia="Arial" w:hAnsi="Arial"/>
          <w:b/>
          <w:bCs/>
          <w:color w:val="1A1A2E"/>
          <w:sz w:val="44"/>
          <w:szCs w:val="44"/>
        </w:rPr>
        <w:t xml:space="preserve">4. Side-by-Side Comparison</w:t>
      </w:r>
    </w:p>
    <w:p>
      <w:pPr>
        <w:spacing w:after="80" w:before="80"/>
        <w:jc w:val="left"/>
      </w:pPr>
      <w:r>
        <w:rPr>
          <w:rFonts w:ascii="Arial" w:cs="Arial" w:eastAsia="Arial" w:hAnsi="Arial"/>
          <w:b w:val="false"/>
          <w:bCs w:val="false"/>
          <w:color w:val="111827"/>
          <w:sz w:val="20"/>
          <w:szCs w:val="20"/>
        </w:rPr>
        <w:t xml:space="preserve">Both pipelines run inside every department agent for every substantive query. The RAG pipeline handles documents. The DB pipeline handles databases. Their results are NL summaries that the dept agent merges before returning to the Fusion Agent.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1A1A2E" w:sz="1"/>
              <w:left w:val="single" w:color="1A1A2E" w:sz="1"/>
              <w:bottom w:val="single" w:color="1A1A2E" w:sz="1"/>
              <w:right w:val="single" w:color="1A1A2E" w:sz="1"/>
            </w:tcBorders>
            <w:shd w:fill="1A1A2E"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Dimension</w:t>
            </w:r>
          </w:p>
        </w:tc>
        <w:tc>
          <w:tcPr>
            <w:tcW w:type="dxa" w:w="348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RAG Pipeline (Unstructured)</w:t>
            </w:r>
          </w:p>
        </w:tc>
        <w:tc>
          <w:tcPr>
            <w:tcW w:type="dxa" w:w="3480"/>
            <w:tcBorders>
              <w:top w:val="single" w:color="D97706" w:sz="1"/>
              <w:left w:val="single" w:color="D97706" w:sz="1"/>
              <w:bottom w:val="single" w:color="D97706" w:sz="1"/>
              <w:right w:val="single" w:color="D97706" w:sz="1"/>
            </w:tcBorders>
            <w:shd w:fill="D97706" w:val="clear"/>
            <w:tcMar>
              <w:top w:type="dxa" w:w="100"/>
              <w:left w:type="dxa" w:w="150"/>
              <w:bottom w:type="dxa" w:w="100"/>
              <w:right w:type="dxa" w:w="150"/>
            </w:tcMar>
            <w:vAlign w:val="center"/>
          </w:tcPr>
          <w:p>
            <w:pPr>
              <w:jc w:val="center"/>
            </w:pPr>
            <w:r>
              <w:rPr>
                <w:rFonts w:ascii="Arial" w:cs="Arial" w:eastAsia="Arial" w:hAnsi="Arial"/>
                <w:b/>
                <w:bCs/>
                <w:color w:val="111827"/>
                <w:sz w:val="20"/>
                <w:szCs w:val="20"/>
              </w:rPr>
              <w:t xml:space="preserve">DB Pipeline (Structured)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Data source</w:t>
            </w:r>
          </w:p>
        </w:tc>
        <w:tc>
          <w:tcPr>
            <w:tcW w:type="dxa" w:w="348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Documents — PDFs, Word files, policy docs, reports, contracts, SOPs</w:t>
            </w:r>
          </w:p>
        </w:tc>
        <w:tc>
          <w:tcPr>
            <w:tcW w:type="dxa" w:w="348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Databases — tables with rows and columns: salary records, financials, CRM, KPIs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How data is retrieved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Embedding similarity search + BM25 keyword search (hybrid)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SQL SELECT query generated from natural language intent</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Number of stages</w:t>
            </w:r>
          </w:p>
        </w:tc>
        <w:tc>
          <w:tcPr>
            <w:tcW w:type="dxa" w:w="348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4 stages: R1 → R2 → R3 → R4</w:t>
            </w:r>
          </w:p>
        </w:tc>
        <w:tc>
          <w:tcPr>
            <w:tcW w:type="dxa" w:w="348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5 stages: D1 → D2 → D3 → D4 → D5</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The firewall step</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R4 — retrieved chunks converted to NL summary. Raw chunk text not passed forward.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D5 — governed rows converted to NL summary. Raw rows explicitly destroyed.</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What the LLM sees</w:t>
            </w:r>
          </w:p>
        </w:tc>
        <w:tc>
          <w:tcPr>
            <w:tcW w:type="dxa" w:w="348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The top 10 retrieved text chunks (document text is meant to be read — no sensitivity)</w:t>
            </w:r>
          </w:p>
        </w:tc>
        <w:tc>
          <w:tcPr>
            <w:tcW w:type="dxa" w:w="348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Only governed column values. Never raw rows, column names, or schema structure.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Dept scoping method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ChromaDB metadata filter: where={'dept': dept_tag}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Schema cache restricts which tables and columns exist for each dept_tag</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Key risk</w:t>
            </w:r>
          </w:p>
        </w:tc>
        <w:tc>
          <w:tcPr>
            <w:tcW w:type="dxa" w:w="348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Irrelevant chunks retrieved → incomplete answer</w:t>
            </w:r>
          </w:p>
        </w:tc>
        <w:tc>
          <w:tcPr>
            <w:tcW w:type="dxa" w:w="348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Sensitive columns exposed in SQL result → data leak</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How risk is mitigated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HyDE + RRF dramatically improves retrieval precision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Governance Filter removes/transforms sensitive columns before NL conversion</w:t>
            </w:r>
          </w:p>
        </w:tc>
      </w:tr>
      <w:tr>
        <w:tc>
          <w:tcPr>
            <w:tcW w:type="dxa" w:w="2400"/>
            <w:tcBorders>
              <w:top w:val="single" w:color="CCCCCC" w:sz="1"/>
              <w:left w:val="single" w:color="CCCCCC" w:sz="1"/>
              <w:bottom w:val="single" w:color="CCCCCC" w:sz="1"/>
              <w:right w:val="single" w:color="CCCCCC" w:sz="1"/>
            </w:tcBorders>
            <w:shd w:fill="F3F4F6"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Confidence signal</w:t>
            </w:r>
          </w:p>
        </w:tc>
        <w:tc>
          <w:tcPr>
            <w:tcW w:type="dxa" w:w="3480"/>
            <w:tcBorders>
              <w:top w:val="single" w:color="CCCCCC" w:sz="1"/>
              <w:left w:val="single" w:color="CCCCCC" w:sz="1"/>
              <w:bottom w:val="single" w:color="CCCCCC" w:sz="1"/>
              <w:right w:val="single" w:color="CCCCCC" w:sz="1"/>
            </w:tcBorders>
            <w:shd w:fill="CCFBF1"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Based on chunk relevance scores from retrieval</w:t>
            </w:r>
          </w:p>
        </w:tc>
        <w:tc>
          <w:tcPr>
            <w:tcW w:type="dxa" w:w="3480"/>
            <w:tcBorders>
              <w:top w:val="single" w:color="CCCCCC" w:sz="1"/>
              <w:left w:val="single" w:color="CCCCCC" w:sz="1"/>
              <w:bottom w:val="single" w:color="CCCCCC" w:sz="1"/>
              <w:right w:val="single" w:color="CCCCCC" w:sz="1"/>
            </w:tcBorders>
            <w:shd w:fill="FEF3C7"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Based on result completeness and whether all query fields were answered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bCs/>
                <w:color w:val="111827"/>
                <w:sz w:val="20"/>
                <w:szCs w:val="20"/>
              </w:rPr>
              <w:t xml:space="preserve">Fallback trigger</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Confidence &lt; 0.40 → Web Agent or escalation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top"/>
          </w:tcPr>
          <w:p>
            <w:pPr>
              <w:jc w:val="left"/>
            </w:pPr>
            <w:r>
              <w:rPr>
                <w:rFonts w:ascii="Arial" w:cs="Arial" w:eastAsia="Arial" w:hAnsi="Arial"/>
                <w:b w:val="false"/>
                <w:bCs w:val="false"/>
                <w:color w:val="111827"/>
                <w:sz w:val="20"/>
                <w:szCs w:val="20"/>
              </w:rPr>
              <w:t xml:space="preserve">Confidence &lt; 0.40 OR empty result → fallback or human escalation</w:t>
            </w:r>
          </w:p>
        </w:tc>
      </w:tr>
    </w:tbl>
    <w:p/>
    <w:p>
      <w:pPr>
        <w:pStyle w:val="Heading2"/>
        <w:spacing w:after="160" w:before="300"/>
      </w:pPr>
      <w:r>
        <w:rPr>
          <w:rFonts w:ascii="Arial" w:cs="Arial" w:eastAsia="Arial" w:hAnsi="Arial"/>
          <w:b/>
          <w:bCs/>
          <w:color w:val="4F46E5"/>
          <w:sz w:val="30"/>
          <w:szCs w:val="30"/>
        </w:rPr>
        <w:t xml:space="preserve">4.1 How Both Pipelines Run Together Inside a Department Agent</w:t>
      </w:r>
    </w:p>
    <w:p>
      <w:pPr>
        <w:spacing w:after="80" w:before="80"/>
        <w:jc w:val="left"/>
      </w:pPr>
      <w:r>
        <w:rPr>
          <w:rFonts w:ascii="Arial" w:cs="Arial" w:eastAsia="Arial" w:hAnsi="Arial"/>
          <w:b w:val="false"/>
          <w:bCs w:val="false"/>
          <w:color w:val="111827"/>
          <w:sz w:val="20"/>
          <w:szCs w:val="20"/>
        </w:rPr>
        <w:t xml:space="preserve">When a department agent is dispatched for a sub-query, it does not choose between RAG and DB. It runs BOTH in parallel and merges the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async def dept_agent_execute(query, user_permissions):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Run both pipelines simultaneously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rag_result, db_result = await asyncio.gather(</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run_rag_pipeline(query, self.dept_tag, user_permissions),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run_db_pipeline(query, self.dept_tag, user_permissions)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Merge the two NL summaries</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if rag_result.confidence &gt; 0.3 and db_result.confidence &gt; 0.3:</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 Both sources have something useful — merge them</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merged = await llm.merge(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f'Document answer: {rag_result.summary}\n'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f'Database answer: {db_result.summary}\n'</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f'Question: {query}'</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elif rag_result.confidence &gt; db_result.confidence: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merged = rag_result.summary   # documents were more useful</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else: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merged = db_result.summary    # database was more useful</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composite_confidence = max(rag_result.confidence, db_result.confidence)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return DeptResult(summary=merged, confidence=composite_confidence,</w:t>
            </w:r>
          </w:p>
        </w:tc>
      </w:tr>
      <w:tr>
        <w:tc>
          <w:tcPr>
            <w:tcW w:type="dxa" w:w="9360"/>
            <w:tcBorders>
              <w:top w:val="single" w:color="2D3748" w:sz="1"/>
              <w:left w:val="single" w:color="2D3748" w:sz="1"/>
              <w:bottom w:val="single" w:color="2D3748" w:sz="1"/>
              <w:right w:val="single" w:color="2D3748" w:sz="1"/>
            </w:tcBorders>
            <w:shd w:fill="1A202C" w:val="clear"/>
            <w:tcMar>
              <w:top w:type="dxa" w:w="50"/>
              <w:left w:type="dxa" w:w="220"/>
              <w:bottom w:type="dxa" w:w="50"/>
              <w:right w:type="dxa" w:w="220"/>
            </w:tcMar>
          </w:tcPr>
          <w:p>
            <w:r>
              <w:rPr>
                <w:rFonts w:ascii="Courier New" w:cs="Courier New" w:eastAsia="Courier New" w:hAnsi="Courier New"/>
                <w:color w:val="A3E635"/>
                <w:sz w:val="18"/>
                <w:szCs w:val="18"/>
              </w:rPr>
              <w:t xml:space="preserve">                      dept=self.dept_tag, sources=rag_result.sources)</w:t>
            </w:r>
          </w:p>
        </w:tc>
      </w:tr>
    </w:tbl>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1"/>
              <w:left w:val="single" w:color="DC2626" w:sz="1"/>
              <w:bottom w:val="single" w:color="DC2626" w:sz="1"/>
              <w:right w:val="single" w:color="DC2626" w:sz="1"/>
            </w:tcBorders>
            <w:shd w:fill="FEE2E2" w:val="clear"/>
            <w:tcMar>
              <w:top w:type="dxa" w:w="140"/>
              <w:left w:type="dxa" w:w="200"/>
              <w:bottom w:type="dxa" w:w="140"/>
              <w:right w:type="dxa" w:w="200"/>
            </w:tcMar>
          </w:tcPr>
          <w:p>
            <w:r>
              <w:rPr>
                <w:rFonts w:ascii="Arial" w:cs="Arial" w:eastAsia="Arial" w:hAnsi="Arial"/>
                <w:color w:val="DC2626"/>
                <w:sz w:val="20"/>
                <w:szCs w:val="20"/>
              </w:rPr>
              <w:t xml:space="preserve">The most important thing to test during development: log every LLM prompt across both pipelines. If you ever see a raw database row, a column name from a table, or schema information in a prompt — the firewall has failed. This is the one thing the system must never do.</w:t>
            </w:r>
          </w:p>
        </w:tc>
      </w:tr>
    </w:tbl>
    <w:p/>
    <w:p>
      <w:pPr>
        <w:spacing w:after="0" w:before="200"/>
        <w:jc w:val="center"/>
      </w:pPr>
      <w:r>
        <w:rPr>
          <w:rFonts w:ascii="Arial" w:cs="Arial" w:eastAsia="Arial" w:hAnsi="Arial"/>
          <w:color w:val="374151"/>
          <w:sz w:val="18"/>
          <w:szCs w:val="18"/>
        </w:rPr>
        <w:t xml:space="preserve">RAPID — Departments &amp; Data Pipelines Reference — Version 1.0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44"/>
      <w:szCs w:val="44"/>
    </w:rPr>
  </w:style>
  <w:style w:type="paragraph" w:styleId="Heading2">
    <w:name w:val="Heading 2"/>
    <w:basedOn w:val="Normal"/>
    <w:next w:val="Normal"/>
    <w:qFormat/>
    <w:pPr>
      <w:spacing w:after="160" w:before="300"/>
      <w:outlineLvl w:val="1"/>
    </w:pPr>
    <w:rPr>
      <w:rFonts w:ascii="Arial" w:cs="Arial" w:eastAsia="Arial" w:hAnsi="Arial"/>
      <w:b/>
      <w:bCs/>
      <w:color w:val="4F46E5"/>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2026-04-05T18:37:21.863Z</dcterms:created>
  <dcterms:modified xsi:type="dcterms:W3CDTF">2026-04-05T18:37:21.864Z</dcterms:modified>
</cp:coreProperties>
</file>

<file path=docProps/custom.xml><?xml version="1.0" encoding="utf-8"?>
<Properties xmlns="http://schemas.openxmlformats.org/officeDocument/2006/custom-properties" xmlns:vt="http://schemas.openxmlformats.org/officeDocument/2006/docPropsVTypes"/>
</file>