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4CAF" w14:textId="77777777" w:rsidR="00EA5052" w:rsidRPr="00EA5052" w:rsidRDefault="00EA5052" w:rsidP="00EA5052">
      <w:pPr>
        <w:spacing w:before="240" w:after="240" w:line="240" w:lineRule="auto"/>
        <w:jc w:val="center"/>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Working Title: Approaches to the Measurement of Lysogeny</w:t>
      </w:r>
    </w:p>
    <w:p w14:paraId="0E89A5A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Introduction</w:t>
      </w:r>
    </w:p>
    <w:p w14:paraId="51A597FE"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bacteriophage (or phage) is a virus which infects bacteria </w:t>
      </w:r>
      <w:r w:rsidRPr="00EA5052">
        <w:rPr>
          <w:rFonts w:ascii="Arial" w:eastAsia="Times New Roman" w:hAnsi="Arial" w:cs="Arial"/>
          <w:color w:val="000000"/>
          <w:shd w:val="clear" w:color="auto" w:fill="FFFFFF"/>
        </w:rPr>
        <w:t>(Clokie et al., 2011)</w:t>
      </w:r>
      <w:r w:rsidRPr="00EA5052">
        <w:rPr>
          <w:rFonts w:ascii="Arial" w:eastAsia="Times New Roman" w:hAnsi="Arial" w:cs="Arial"/>
          <w:color w:val="000000"/>
        </w:rPr>
        <w:t>. If considered to be alive, phages would comprise one of the most abundant ‘organisms’ in the biosphere. All phages have the ability to act as predators of bacteria; however, temperate phages are capable of making the choice of predating upon bacteria and living in a symbiotic relationship with their host. Phage population dynamics driven by this choice may affect bacterial population dynamics in an ecosystem, which may have significant effects on the ecosystem as a whole. </w:t>
      </w:r>
    </w:p>
    <w:p w14:paraId="58C4C350"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Terminology</w:t>
      </w:r>
    </w:p>
    <w:p w14:paraId="0F85BE50"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w:t>
      </w:r>
      <w:r w:rsidRPr="00EA5052">
        <w:rPr>
          <w:rFonts w:ascii="Arial" w:eastAsia="Times New Roman" w:hAnsi="Arial" w:cs="Arial"/>
          <w:b/>
          <w:bCs/>
          <w:color w:val="000000"/>
        </w:rPr>
        <w:t>virion</w:t>
      </w:r>
      <w:r w:rsidRPr="00EA5052">
        <w:rPr>
          <w:rFonts w:ascii="Arial" w:eastAsia="Times New Roman" w:hAnsi="Arial" w:cs="Arial"/>
          <w:color w:val="000000"/>
        </w:rPr>
        <w:t xml:space="preserve"> is a complete viral particle consisting of a nucleic acid genome encapsulated by a protein capsid, which is capable of infecting a new cell once released from its old host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Once a virion binds to a host it is capable of infecting, it releases its genetic material inside of the host. A successful infection usually results in the initiation of a process capable of replicating the phage genome, which may include one of the following reproductive strategies.</w:t>
      </w:r>
    </w:p>
    <w:p w14:paraId="18E2CC4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A </w:t>
      </w:r>
      <w:r w:rsidRPr="00EA5052">
        <w:rPr>
          <w:rFonts w:ascii="Arial" w:eastAsia="Times New Roman" w:hAnsi="Arial" w:cs="Arial"/>
          <w:b/>
          <w:bCs/>
          <w:color w:val="000000"/>
        </w:rPr>
        <w:t>productive cycle</w:t>
      </w:r>
      <w:r w:rsidRPr="00EA5052">
        <w:rPr>
          <w:rFonts w:ascii="Arial" w:eastAsia="Times New Roman" w:hAnsi="Arial" w:cs="Arial"/>
          <w:color w:val="000000"/>
        </w:rPr>
        <w:t xml:space="preserve"> is a term for a phage infection resulting in the production of virions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The most common productive cycle is the </w:t>
      </w:r>
      <w:r w:rsidRPr="00EA5052">
        <w:rPr>
          <w:rFonts w:ascii="Arial" w:eastAsia="Times New Roman" w:hAnsi="Arial" w:cs="Arial"/>
          <w:b/>
          <w:bCs/>
          <w:color w:val="000000"/>
        </w:rPr>
        <w:t>lytic cycle</w:t>
      </w:r>
      <w:r w:rsidRPr="00EA5052">
        <w:rPr>
          <w:rFonts w:ascii="Arial" w:eastAsia="Times New Roman" w:hAnsi="Arial" w:cs="Arial"/>
          <w:color w:val="000000"/>
        </w:rPr>
        <w:t xml:space="preserve">, which produces many virions within a short period of time and releases them by lysing the host. Another, less common productive cycle is the </w:t>
      </w:r>
      <w:r w:rsidRPr="00EA5052">
        <w:rPr>
          <w:rFonts w:ascii="Arial" w:eastAsia="Times New Roman" w:hAnsi="Arial" w:cs="Arial"/>
          <w:b/>
          <w:bCs/>
          <w:color w:val="000000"/>
        </w:rPr>
        <w:t>chronic cycle</w:t>
      </w:r>
      <w:r w:rsidRPr="00EA5052">
        <w:rPr>
          <w:rFonts w:ascii="Arial" w:eastAsia="Times New Roman" w:hAnsi="Arial" w:cs="Arial"/>
          <w:color w:val="000000"/>
        </w:rPr>
        <w:t xml:space="preserve">, which results in a continuous production and release of virions from the host cell, usually without killing the host. In contrast, the </w:t>
      </w:r>
      <w:r w:rsidRPr="00EA5052">
        <w:rPr>
          <w:rFonts w:ascii="Arial" w:eastAsia="Times New Roman" w:hAnsi="Arial" w:cs="Arial"/>
          <w:b/>
          <w:bCs/>
          <w:color w:val="000000"/>
        </w:rPr>
        <w:t xml:space="preserve">lysogenic cycle </w:t>
      </w:r>
      <w:r w:rsidRPr="00EA5052">
        <w:rPr>
          <w:rFonts w:ascii="Arial" w:eastAsia="Times New Roman" w:hAnsi="Arial" w:cs="Arial"/>
          <w:color w:val="000000"/>
        </w:rPr>
        <w:t xml:space="preserve">does not result in the immediate production of virions. Instead, the phage integrates itself into the host chromosome or extrachromosomal elements, becoming a </w:t>
      </w:r>
      <w:r w:rsidRPr="00EA5052">
        <w:rPr>
          <w:rFonts w:ascii="Arial" w:eastAsia="Times New Roman" w:hAnsi="Arial" w:cs="Arial"/>
          <w:b/>
          <w:bCs/>
          <w:color w:val="000000"/>
        </w:rPr>
        <w:t>prophage</w:t>
      </w:r>
      <w:r w:rsidRPr="00EA5052">
        <w:rPr>
          <w:rFonts w:ascii="Arial" w:eastAsia="Times New Roman" w:hAnsi="Arial" w:cs="Arial"/>
          <w:color w:val="000000"/>
        </w:rPr>
        <w:t xml:space="preserve">. A bacterium which is infected by a phage undergoing the lysogenic cycle, therefore having a prophage incorporated into its genome, is called a </w:t>
      </w:r>
      <w:r w:rsidRPr="00EA5052">
        <w:rPr>
          <w:rFonts w:ascii="Arial" w:eastAsia="Times New Roman" w:hAnsi="Arial" w:cs="Arial"/>
          <w:b/>
          <w:bCs/>
          <w:color w:val="000000"/>
        </w:rPr>
        <w:t>lysogen. Lysogeny</w:t>
      </w:r>
      <w:r w:rsidRPr="00EA5052">
        <w:rPr>
          <w:rFonts w:ascii="Arial" w:eastAsia="Times New Roman" w:hAnsi="Arial" w:cs="Arial"/>
          <w:color w:val="000000"/>
        </w:rPr>
        <w:t xml:space="preserve"> is a term for an infection caused by the lysogenic cycle. A relevant historical definition defines lysogeny as the “hereditary power of [an infected bacterium] to produce bacteriophage” (Lwoff, 1953). This “hereditary power” refers to the fact that the descendent of a lysogen will inherit its ancestor’s prophage, therefore resulting in vertical transmission of the phage. The ability to “produce bacteriophage” refers to the ability of a prophage, under certain conditions, to undergo </w:t>
      </w:r>
      <w:r w:rsidRPr="00EA5052">
        <w:rPr>
          <w:rFonts w:ascii="Arial" w:eastAsia="Times New Roman" w:hAnsi="Arial" w:cs="Arial"/>
          <w:b/>
          <w:bCs/>
          <w:color w:val="000000"/>
        </w:rPr>
        <w:t>induction</w:t>
      </w:r>
      <w:r w:rsidRPr="00EA5052">
        <w:rPr>
          <w:rFonts w:ascii="Arial" w:eastAsia="Times New Roman" w:hAnsi="Arial" w:cs="Arial"/>
          <w:color w:val="000000"/>
        </w:rPr>
        <w:t xml:space="preserve">, initiating a productive cycle to produce virions. Occasionally, a phage may undergo </w:t>
      </w:r>
      <w:r w:rsidRPr="00EA5052">
        <w:rPr>
          <w:rFonts w:ascii="Arial" w:eastAsia="Times New Roman" w:hAnsi="Arial" w:cs="Arial"/>
          <w:b/>
          <w:bCs/>
          <w:color w:val="000000"/>
        </w:rPr>
        <w:t xml:space="preserve">pseudolysogeny </w:t>
      </w:r>
      <w:r w:rsidRPr="00EA5052">
        <w:rPr>
          <w:rFonts w:ascii="Arial" w:eastAsia="Times New Roman" w:hAnsi="Arial" w:cs="Arial"/>
          <w:color w:val="000000"/>
        </w:rPr>
        <w:t xml:space="preserve">and will not initiate either a productive cycle or a lysogenic cycle upon infection </w:t>
      </w:r>
      <w:r w:rsidRPr="00EA5052">
        <w:rPr>
          <w:rFonts w:ascii="Arial" w:eastAsia="Times New Roman" w:hAnsi="Arial" w:cs="Arial"/>
          <w:color w:val="000000"/>
          <w:shd w:val="clear" w:color="auto" w:fill="FFFFFF"/>
        </w:rPr>
        <w:t>(Łoś &amp; Węgrzyn, 2012)</w:t>
      </w:r>
      <w:r w:rsidRPr="00EA5052">
        <w:rPr>
          <w:rFonts w:ascii="Arial" w:eastAsia="Times New Roman" w:hAnsi="Arial" w:cs="Arial"/>
          <w:color w:val="000000"/>
        </w:rPr>
        <w:t>. This may be due to the phage infecting a starving bacterium, which lacks the resources to produce phage components.</w:t>
      </w:r>
    </w:p>
    <w:p w14:paraId="4FC3384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Phages may be classified according to their ability to enter a productive or lysogenic cycle. A </w:t>
      </w:r>
      <w:r w:rsidRPr="00EA5052">
        <w:rPr>
          <w:rFonts w:ascii="Arial" w:eastAsia="Times New Roman" w:hAnsi="Arial" w:cs="Arial"/>
          <w:b/>
          <w:bCs/>
          <w:color w:val="000000"/>
        </w:rPr>
        <w:t>temperate phage</w:t>
      </w:r>
      <w:r w:rsidRPr="00EA5052">
        <w:rPr>
          <w:rFonts w:ascii="Arial" w:eastAsia="Times New Roman" w:hAnsi="Arial" w:cs="Arial"/>
          <w:color w:val="000000"/>
        </w:rPr>
        <w:t xml:space="preserve"> is capable of entering the lysogenic cycle as well as a productive cycle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However, a temperate phage integrated into a host genome may lose its ability to undergo a productive cycle, therefore becoming a </w:t>
      </w:r>
      <w:r w:rsidRPr="00EA5052">
        <w:rPr>
          <w:rFonts w:ascii="Arial" w:eastAsia="Times New Roman" w:hAnsi="Arial" w:cs="Arial"/>
          <w:b/>
          <w:bCs/>
          <w:color w:val="000000"/>
        </w:rPr>
        <w:t xml:space="preserve">cryptic prophage (or defective phage) </w:t>
      </w:r>
      <w:r w:rsidRPr="00EA5052">
        <w:rPr>
          <w:rFonts w:ascii="Arial" w:eastAsia="Times New Roman" w:hAnsi="Arial" w:cs="Arial"/>
          <w:color w:val="000000"/>
          <w:shd w:val="clear" w:color="auto" w:fill="FFFFFF"/>
        </w:rPr>
        <w:t>(Campbell, 1998)</w:t>
      </w:r>
      <w:r w:rsidRPr="00EA5052">
        <w:rPr>
          <w:rFonts w:ascii="Arial" w:eastAsia="Times New Roman" w:hAnsi="Arial" w:cs="Arial"/>
          <w:b/>
          <w:bCs/>
          <w:color w:val="000000"/>
        </w:rPr>
        <w:t xml:space="preserve">. </w:t>
      </w:r>
      <w:r w:rsidRPr="00EA5052">
        <w:rPr>
          <w:rFonts w:ascii="Arial" w:eastAsia="Times New Roman" w:hAnsi="Arial" w:cs="Arial"/>
          <w:color w:val="000000"/>
        </w:rPr>
        <w:t xml:space="preserve">In contrast, an </w:t>
      </w:r>
      <w:r w:rsidRPr="00EA5052">
        <w:rPr>
          <w:rFonts w:ascii="Arial" w:eastAsia="Times New Roman" w:hAnsi="Arial" w:cs="Arial"/>
          <w:b/>
          <w:bCs/>
          <w:color w:val="000000"/>
        </w:rPr>
        <w:t>intemperate phage (or non-temperate phage)</w:t>
      </w:r>
      <w:r w:rsidRPr="00EA5052">
        <w:rPr>
          <w:rFonts w:ascii="Arial" w:eastAsia="Times New Roman" w:hAnsi="Arial" w:cs="Arial"/>
          <w:color w:val="000000"/>
        </w:rPr>
        <w:t xml:space="preserve"> is incapable of entering the lysogenic cycle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A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w:t>
      </w:r>
      <w:r w:rsidRPr="00EA5052">
        <w:rPr>
          <w:rFonts w:ascii="Arial" w:eastAsia="Times New Roman" w:hAnsi="Arial" w:cs="Arial"/>
          <w:b/>
          <w:bCs/>
          <w:color w:val="000000"/>
        </w:rPr>
        <w:t>(or obligately lytic phage or strictly lytic phage)</w:t>
      </w:r>
      <w:r w:rsidRPr="00EA5052">
        <w:rPr>
          <w:rFonts w:ascii="Arial" w:eastAsia="Times New Roman" w:hAnsi="Arial" w:cs="Arial"/>
          <w:color w:val="000000"/>
        </w:rPr>
        <w:t xml:space="preserve"> is an intemperate phage which may only replicate using the lytic cycle. Such a phage must also be recently descended from a temperate </w:t>
      </w:r>
      <w:r w:rsidRPr="00EA5052">
        <w:rPr>
          <w:rFonts w:ascii="Arial" w:eastAsia="Times New Roman" w:hAnsi="Arial" w:cs="Arial"/>
          <w:color w:val="000000"/>
        </w:rPr>
        <w:lastRenderedPageBreak/>
        <w:t xml:space="preserve">phage which has lost its ability to enter the lysogenic cycle. This differs from a </w:t>
      </w:r>
      <w:r w:rsidRPr="00EA5052">
        <w:rPr>
          <w:rFonts w:ascii="Arial" w:eastAsia="Times New Roman" w:hAnsi="Arial" w:cs="Arial"/>
          <w:b/>
          <w:bCs/>
          <w:color w:val="000000"/>
        </w:rPr>
        <w:t xml:space="preserve">professionally lytic phage, </w:t>
      </w:r>
      <w:r w:rsidRPr="00EA5052">
        <w:rPr>
          <w:rFonts w:ascii="Arial" w:eastAsia="Times New Roman" w:hAnsi="Arial" w:cs="Arial"/>
          <w:color w:val="000000"/>
        </w:rPr>
        <w:t>which is also an intemperate phage which may only replicate using the lytic cycle, but is not recently descended from a temperate phage.</w:t>
      </w:r>
    </w:p>
    <w:p w14:paraId="0F53B58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There exist some potential points of confusion within the terminology of phages, many from alternative historical definitions of common terms. Historically, the term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has also meant a phage which was adept at destroying bacterial populations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Similarly, the term </w:t>
      </w:r>
      <w:r w:rsidRPr="00EA5052">
        <w:rPr>
          <w:rFonts w:ascii="Arial" w:eastAsia="Times New Roman" w:hAnsi="Arial" w:cs="Arial"/>
          <w:b/>
          <w:bCs/>
          <w:color w:val="000000"/>
        </w:rPr>
        <w:t>lysogen</w:t>
      </w:r>
      <w:r w:rsidRPr="00EA5052">
        <w:rPr>
          <w:rFonts w:ascii="Arial" w:eastAsia="Times New Roman" w:hAnsi="Arial" w:cs="Arial"/>
          <w:color w:val="000000"/>
        </w:rPr>
        <w:t xml:space="preserve"> has its roots in the phrase “lysis-generating”, and was historically used to describe a population of bacteria capable of releasing factors (now known to be phages) capable of lysing a population it was transferred to. A </w:t>
      </w:r>
      <w:r w:rsidRPr="00EA5052">
        <w:rPr>
          <w:rFonts w:ascii="Arial" w:eastAsia="Times New Roman" w:hAnsi="Arial" w:cs="Arial"/>
          <w:b/>
          <w:bCs/>
          <w:color w:val="000000"/>
        </w:rPr>
        <w:t>pseudolysogenic</w:t>
      </w:r>
      <w:r w:rsidRPr="00EA5052">
        <w:rPr>
          <w:rFonts w:ascii="Arial" w:eastAsia="Times New Roman" w:hAnsi="Arial" w:cs="Arial"/>
          <w:color w:val="000000"/>
        </w:rPr>
        <w:t xml:space="preserve"> </w:t>
      </w:r>
      <w:r w:rsidRPr="00EA5052">
        <w:rPr>
          <w:rFonts w:ascii="Arial" w:eastAsia="Times New Roman" w:hAnsi="Arial" w:cs="Arial"/>
          <w:b/>
          <w:bCs/>
          <w:color w:val="000000"/>
        </w:rPr>
        <w:t>(or carrier)</w:t>
      </w:r>
      <w:r w:rsidRPr="00EA5052">
        <w:rPr>
          <w:rFonts w:ascii="Arial" w:eastAsia="Times New Roman" w:hAnsi="Arial" w:cs="Arial"/>
          <w:color w:val="000000"/>
        </w:rPr>
        <w:t xml:space="preserve"> strain of bacteria was historically used to describe a population of obligately lytic phage within a population of mostly resistant bacteria, where a minority of sensitive bacteria allowed continued propagation of a phage </w:t>
      </w:r>
      <w:r w:rsidRPr="00EA5052">
        <w:rPr>
          <w:rFonts w:ascii="Arial" w:eastAsia="Times New Roman" w:hAnsi="Arial" w:cs="Arial"/>
          <w:color w:val="000000"/>
          <w:shd w:val="clear" w:color="auto" w:fill="FFFFFF"/>
        </w:rPr>
        <w:t>(Adams, 2009)</w:t>
      </w:r>
      <w:r w:rsidRPr="00EA5052">
        <w:rPr>
          <w:rFonts w:ascii="Arial" w:eastAsia="Times New Roman" w:hAnsi="Arial" w:cs="Arial"/>
          <w:color w:val="000000"/>
        </w:rPr>
        <w:t xml:space="preserve">. However, not all confusion is due to historical definitions. For example, the term </w:t>
      </w:r>
      <w:r w:rsidRPr="00EA5052">
        <w:rPr>
          <w:rFonts w:ascii="Arial" w:eastAsia="Times New Roman" w:hAnsi="Arial" w:cs="Arial"/>
          <w:b/>
          <w:bCs/>
          <w:color w:val="000000"/>
        </w:rPr>
        <w:t>virulent phage</w:t>
      </w:r>
      <w:r w:rsidRPr="00EA5052">
        <w:rPr>
          <w:rFonts w:ascii="Arial" w:eastAsia="Times New Roman" w:hAnsi="Arial" w:cs="Arial"/>
          <w:color w:val="000000"/>
        </w:rPr>
        <w:t xml:space="preserve"> has sometimes been incorrectly used to mean an intemperate phage, regardless of whether or not it has been descended from a temperate phage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 xml:space="preserve">. Additionally, in the growing field of phage therapy, a </w:t>
      </w:r>
      <w:r w:rsidRPr="00EA5052">
        <w:rPr>
          <w:rFonts w:ascii="Arial" w:eastAsia="Times New Roman" w:hAnsi="Arial" w:cs="Arial"/>
          <w:b/>
          <w:bCs/>
          <w:color w:val="000000"/>
        </w:rPr>
        <w:t>lytic phage</w:t>
      </w:r>
      <w:r w:rsidRPr="00EA5052">
        <w:rPr>
          <w:rFonts w:ascii="Arial" w:eastAsia="Times New Roman" w:hAnsi="Arial" w:cs="Arial"/>
          <w:color w:val="000000"/>
        </w:rPr>
        <w:t xml:space="preserve"> is a term for an obligately lytic phage, while a </w:t>
      </w:r>
      <w:r w:rsidRPr="00EA5052">
        <w:rPr>
          <w:rFonts w:ascii="Arial" w:eastAsia="Times New Roman" w:hAnsi="Arial" w:cs="Arial"/>
          <w:b/>
          <w:bCs/>
          <w:color w:val="000000"/>
        </w:rPr>
        <w:t>lysogenic phage</w:t>
      </w:r>
      <w:r w:rsidRPr="00EA5052">
        <w:rPr>
          <w:rFonts w:ascii="Arial" w:eastAsia="Times New Roman" w:hAnsi="Arial" w:cs="Arial"/>
          <w:color w:val="000000"/>
        </w:rPr>
        <w:t xml:space="preserve"> is a term for a temperate phage.</w:t>
      </w:r>
    </w:p>
    <w:p w14:paraId="1967771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Measuring Lysogeny</w:t>
      </w:r>
    </w:p>
    <w:p w14:paraId="3150D45F"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different approaches from various fields of biology, such as microbiology, genomics, and molecular biology, have been used to study lysogeny. This multidisciplinary approach has allowed for the study of lysogeny on several different spatial scales, from the intracellular scale to a scale spanning multiple ecosystems. This section provides a high-level conceptual overview of some of the methods currently used (or which have proposed to be used) to study lysogeny. </w:t>
      </w:r>
      <w:r w:rsidRPr="00EA5052">
        <w:rPr>
          <w:rFonts w:ascii="Arial" w:eastAsia="Times New Roman" w:hAnsi="Arial" w:cs="Arial"/>
          <w:b/>
          <w:bCs/>
          <w:color w:val="000000"/>
        </w:rPr>
        <w:t>The main measure of lysogeny detected by each approach is bolded. </w:t>
      </w:r>
    </w:p>
    <w:p w14:paraId="04F015A2"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Forced Induction Studies</w:t>
      </w:r>
    </w:p>
    <w:p w14:paraId="097AA885" w14:textId="77777777" w:rsidR="00EA5052" w:rsidRPr="00EA5052" w:rsidRDefault="00EA5052" w:rsidP="00EA5052">
      <w:pPr>
        <w:spacing w:before="240" w:after="0"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419FA06D" w14:textId="77777777" w:rsidR="00EA5052" w:rsidRPr="00EA5052" w:rsidRDefault="00EA5052" w:rsidP="00EA5052">
      <w:pPr>
        <w:numPr>
          <w:ilvl w:val="0"/>
          <w:numId w:val="9"/>
        </w:numPr>
        <w:spacing w:before="240"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Average burst size: </w:t>
      </w:r>
      <w:r w:rsidRPr="00EA5052">
        <w:rPr>
          <w:rFonts w:ascii="Arial" w:eastAsia="Times New Roman" w:hAnsi="Arial" w:cs="Arial"/>
          <w:color w:val="000000"/>
        </w:rPr>
        <w:t xml:space="preserve">The average number of virions produced per cell upon lytic cycle induction. Typically either assumed or measured by enumerating virions within bacteria using transmission electron microscopy </w:t>
      </w:r>
      <w:r w:rsidRPr="00EA5052">
        <w:rPr>
          <w:rFonts w:ascii="Arial" w:eastAsia="Times New Roman" w:hAnsi="Arial" w:cs="Arial"/>
          <w:color w:val="000000"/>
          <w:shd w:val="clear" w:color="auto" w:fill="FFFFFF"/>
        </w:rPr>
        <w:t>(Jiang &amp; Paul, 1996). </w:t>
      </w:r>
    </w:p>
    <w:p w14:paraId="23DA5296" w14:textId="77777777" w:rsidR="00EA5052" w:rsidRPr="00EA5052" w:rsidRDefault="00EA5052" w:rsidP="00EA5052">
      <w:pPr>
        <w:numPr>
          <w:ilvl w:val="0"/>
          <w:numId w:val="9"/>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Virus-like particles (VLPs)</w:t>
      </w:r>
      <w:r w:rsidRPr="00EA5052">
        <w:rPr>
          <w:rFonts w:ascii="Arial" w:eastAsia="Times New Roman" w:hAnsi="Arial" w:cs="Arial"/>
          <w:color w:val="000000"/>
        </w:rPr>
        <w:t xml:space="preserve">: Particles of similar sizes to viruses, but which cannot be confirmed to be viruses through identification of viral attributes </w:t>
      </w:r>
      <w:r w:rsidRPr="00EA5052">
        <w:rPr>
          <w:rFonts w:ascii="Arial" w:eastAsia="Times New Roman" w:hAnsi="Arial" w:cs="Arial"/>
          <w:color w:val="000000"/>
          <w:shd w:val="clear" w:color="auto" w:fill="FFFFFF"/>
        </w:rPr>
        <w:t>(Jiang &amp; Paul, 1996).</w:t>
      </w:r>
    </w:p>
    <w:p w14:paraId="099F07EE" w14:textId="77777777" w:rsidR="00EA5052" w:rsidRPr="00EA5052" w:rsidRDefault="00EA5052" w:rsidP="00EA5052">
      <w:pPr>
        <w:numPr>
          <w:ilvl w:val="0"/>
          <w:numId w:val="9"/>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Direct counting: </w:t>
      </w:r>
      <w:r w:rsidRPr="00EA5052">
        <w:rPr>
          <w:rFonts w:ascii="Arial" w:eastAsia="Times New Roman" w:hAnsi="Arial" w:cs="Arial"/>
          <w:color w:val="000000"/>
        </w:rPr>
        <w:t xml:space="preserve">A method of determining number of particles in a sample involving the division of the sample into several grids, followed by the enumeration of each particle in several randomly sampled grids and the extrapolation of this number to the rest of the sample </w:t>
      </w:r>
      <w:r w:rsidRPr="00EA5052">
        <w:rPr>
          <w:rFonts w:ascii="Arial" w:eastAsia="Times New Roman" w:hAnsi="Arial" w:cs="Arial"/>
          <w:color w:val="000000"/>
          <w:shd w:val="clear" w:color="auto" w:fill="FFFFFF"/>
        </w:rPr>
        <w:t>(Kirchman et al., 1982).</w:t>
      </w:r>
    </w:p>
    <w:p w14:paraId="34FFFB38"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prophages have a low spontaneous induction rate, and thus may remain in their hosts for long periods of time (Gandon, 2016). However, prophages will induce a productive cycle (usually assumed to be lytic) when exposed to external stressors such as DNA damage. Based on this principle, an old, but widely accepted test for studying lysogeny in a system involves inducing productive cycles in a bacterial sample through administering induction agents such as ultraviolet radiation or mitomycin C </w:t>
      </w:r>
      <w:r w:rsidRPr="00EA5052">
        <w:rPr>
          <w:rFonts w:ascii="Arial" w:eastAsia="Times New Roman" w:hAnsi="Arial" w:cs="Arial"/>
          <w:color w:val="000000"/>
          <w:shd w:val="clear" w:color="auto" w:fill="FFFFFF"/>
        </w:rPr>
        <w:t>(Otsuji et al., 1959)</w:t>
      </w:r>
      <w:r w:rsidRPr="00EA5052">
        <w:rPr>
          <w:rFonts w:ascii="Arial" w:eastAsia="Times New Roman" w:hAnsi="Arial" w:cs="Arial"/>
          <w:color w:val="000000"/>
        </w:rPr>
        <w:t xml:space="preserve">. It would be expected that if lysogens exist in such a system, application of the induction-causing agent would lead to bacterial death </w:t>
      </w:r>
      <w:r w:rsidRPr="00EA5052">
        <w:rPr>
          <w:rFonts w:ascii="Arial" w:eastAsia="Times New Roman" w:hAnsi="Arial" w:cs="Arial"/>
          <w:color w:val="000000"/>
        </w:rPr>
        <w:lastRenderedPageBreak/>
        <w:t xml:space="preserve">and the production of virions. </w:t>
      </w:r>
      <w:r w:rsidRPr="00EA5052">
        <w:rPr>
          <w:rFonts w:ascii="Arial" w:eastAsia="Times New Roman" w:hAnsi="Arial" w:cs="Arial"/>
          <w:b/>
          <w:bCs/>
          <w:color w:val="000000"/>
        </w:rPr>
        <w:t>Studies using this method typically measured the proportion of lysogens in a system.</w:t>
      </w:r>
    </w:p>
    <w:p w14:paraId="5B55714D"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To measure the proportion of lysogens in a system, the number of bacteria and the number of virions or virus-like particles (VLPs) are measured before and after an induction-causing agent is added to a bacterial sample. One common way to ascertain bacterial and viral counts is by direct counting using epifluorescence microscopy, which utilizes a fluorescent stain to stain the DNA of viruses and bacteria (Noble &amp; Fuhrman, 1998). Then, the proportion of lysogens may be estimated as the fraction of bacteria which died due to viral induction by the induction agent, adjusted for bacterial deaths due to the agent itself  </w:t>
      </w:r>
      <w:r w:rsidRPr="00EA5052">
        <w:rPr>
          <w:rFonts w:ascii="Arial" w:eastAsia="Times New Roman" w:hAnsi="Arial" w:cs="Arial"/>
          <w:color w:val="000000"/>
          <w:shd w:val="clear" w:color="auto" w:fill="FFFFFF"/>
        </w:rPr>
        <w:t>(Jiang &amp; Paul, 1996)</w:t>
      </w:r>
      <w:r w:rsidRPr="00EA5052">
        <w:rPr>
          <w:rFonts w:ascii="Arial" w:eastAsia="Times New Roman" w:hAnsi="Arial" w:cs="Arial"/>
          <w:color w:val="000000"/>
        </w:rPr>
        <w:t xml:space="preserve">. Alternatively, the number of lysogens may be estimated by dividing the increase in virions or VLPs by an estimated average burst size. One study exemplifying these prophage induction methods in marine environments found that 54% of sampled samples showed significant prophage induction, indicating the presence of susceptible lysogens in these samples </w:t>
      </w:r>
      <w:r w:rsidRPr="00EA5052">
        <w:rPr>
          <w:rFonts w:ascii="Arial" w:eastAsia="Times New Roman" w:hAnsi="Arial" w:cs="Arial"/>
          <w:color w:val="000000"/>
          <w:shd w:val="clear" w:color="auto" w:fill="FFFFFF"/>
        </w:rPr>
        <w:t>(Jiang &amp; Paul, 1996)</w:t>
      </w:r>
      <w:r w:rsidRPr="00EA5052">
        <w:rPr>
          <w:rFonts w:ascii="Arial" w:eastAsia="Times New Roman" w:hAnsi="Arial" w:cs="Arial"/>
          <w:color w:val="000000"/>
        </w:rPr>
        <w:t>.</w:t>
      </w:r>
    </w:p>
    <w:p w14:paraId="77E88EA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However, some problems exist with the technique of prophage induction. Fundamentally, the sensitivity to induction varies by bacterial and viral species </w:t>
      </w:r>
      <w:r w:rsidRPr="00EA5052">
        <w:rPr>
          <w:rFonts w:ascii="Arial" w:eastAsia="Times New Roman" w:hAnsi="Arial" w:cs="Arial"/>
          <w:color w:val="000000"/>
          <w:shd w:val="clear" w:color="auto" w:fill="FFFFFF"/>
        </w:rPr>
        <w:t>(Howard-Varona et al., 2017)</w:t>
      </w:r>
      <w:r w:rsidRPr="00EA5052">
        <w:rPr>
          <w:rFonts w:ascii="Arial" w:eastAsia="Times New Roman" w:hAnsi="Arial" w:cs="Arial"/>
          <w:color w:val="000000"/>
        </w:rPr>
        <w:t xml:space="preserve">. For simplicity, it is usually assumed that all existing lysogens in a sample are induced, but this is likely an incorrect assumption. An accurate estimate of the proportion of lysogens using average burst size depends heavily on accurate burst size estimates, which requires additional steps to ascertain </w:t>
      </w:r>
      <w:r w:rsidRPr="00EA5052">
        <w:rPr>
          <w:rFonts w:ascii="Arial" w:eastAsia="Times New Roman" w:hAnsi="Arial" w:cs="Arial"/>
          <w:color w:val="000000"/>
          <w:shd w:val="clear" w:color="auto" w:fill="FFFFFF"/>
        </w:rPr>
        <w:t>(Parada et al., 2006)</w:t>
      </w:r>
      <w:r w:rsidRPr="00EA5052">
        <w:rPr>
          <w:rFonts w:ascii="Arial" w:eastAsia="Times New Roman" w:hAnsi="Arial" w:cs="Arial"/>
          <w:color w:val="000000"/>
        </w:rPr>
        <w:t xml:space="preserve">. Additionally, another issue stems from the issue of the identity of VLPs; one study has shown that the common epifluorescence microscopy used for viral enumeration may generate ‘fake virus particles’, overestimating the total number of phages present in the sample </w:t>
      </w:r>
      <w:r w:rsidRPr="00EA5052">
        <w:rPr>
          <w:rFonts w:ascii="Arial" w:eastAsia="Times New Roman" w:hAnsi="Arial" w:cs="Arial"/>
          <w:color w:val="000000"/>
          <w:shd w:val="clear" w:color="auto" w:fill="FFFFFF"/>
        </w:rPr>
        <w:t>(Forterre et al., 2013)</w:t>
      </w:r>
      <w:r w:rsidRPr="00EA5052">
        <w:rPr>
          <w:rFonts w:ascii="Arial" w:eastAsia="Times New Roman" w:hAnsi="Arial" w:cs="Arial"/>
          <w:color w:val="000000"/>
        </w:rPr>
        <w:t>. </w:t>
      </w:r>
    </w:p>
    <w:p w14:paraId="2FB4B9C4"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The Virus to Microbe Ratio</w:t>
      </w:r>
    </w:p>
    <w:p w14:paraId="434750AC"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21EEA05E" w14:textId="77777777" w:rsidR="00EA5052" w:rsidRPr="00EA5052" w:rsidRDefault="00EA5052" w:rsidP="00EA5052">
      <w:pPr>
        <w:numPr>
          <w:ilvl w:val="0"/>
          <w:numId w:val="10"/>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Transduction: </w:t>
      </w:r>
      <w:r w:rsidRPr="00EA5052">
        <w:rPr>
          <w:rFonts w:ascii="Arial" w:eastAsia="Times New Roman" w:hAnsi="Arial" w:cs="Arial"/>
          <w:color w:val="000000"/>
        </w:rPr>
        <w:t xml:space="preserve">Transfer of genes between bacteria due to temperate phage; caused when prophages erroneously excise some host DNA during induction </w:t>
      </w:r>
      <w:r w:rsidRPr="00EA5052">
        <w:rPr>
          <w:rFonts w:ascii="Arial" w:eastAsia="Times New Roman" w:hAnsi="Arial" w:cs="Arial"/>
          <w:color w:val="000000"/>
          <w:shd w:val="clear" w:color="auto" w:fill="FFFFFF"/>
        </w:rPr>
        <w:t>(Chiang et al., 2019)</w:t>
      </w:r>
      <w:r w:rsidRPr="00EA5052">
        <w:rPr>
          <w:rFonts w:ascii="Arial" w:eastAsia="Times New Roman" w:hAnsi="Arial" w:cs="Arial"/>
          <w:color w:val="000000"/>
        </w:rPr>
        <w:t>.</w:t>
      </w:r>
    </w:p>
    <w:p w14:paraId="5A8AED5F" w14:textId="77777777" w:rsidR="00EA5052" w:rsidRPr="00EA5052" w:rsidRDefault="00EA5052" w:rsidP="00EA5052">
      <w:pPr>
        <w:numPr>
          <w:ilvl w:val="0"/>
          <w:numId w:val="10"/>
        </w:numPr>
        <w:spacing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Free phage: </w:t>
      </w:r>
      <w:r w:rsidRPr="00EA5052">
        <w:rPr>
          <w:rFonts w:ascii="Arial" w:eastAsia="Times New Roman" w:hAnsi="Arial" w:cs="Arial"/>
          <w:color w:val="000000"/>
        </w:rPr>
        <w:t xml:space="preserve">Virions existing in an extracellular form </w:t>
      </w:r>
      <w:r w:rsidRPr="00EA5052">
        <w:rPr>
          <w:rFonts w:ascii="Arial" w:eastAsia="Times New Roman" w:hAnsi="Arial" w:cs="Arial"/>
          <w:color w:val="000000"/>
          <w:shd w:val="clear" w:color="auto" w:fill="FFFFFF"/>
        </w:rPr>
        <w:t>(Hobbs &amp; Abedon, 2016)</w:t>
      </w:r>
      <w:r w:rsidRPr="00EA5052">
        <w:rPr>
          <w:rFonts w:ascii="Arial" w:eastAsia="Times New Roman" w:hAnsi="Arial" w:cs="Arial"/>
          <w:color w:val="000000"/>
        </w:rPr>
        <w:t>.</w:t>
      </w:r>
    </w:p>
    <w:p w14:paraId="1EC12A55"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The virus to microbe ratio, (VMR) measures the number of free phages per microbe</w:t>
      </w:r>
      <w:r w:rsidRPr="00EA5052">
        <w:rPr>
          <w:rFonts w:ascii="Arial" w:eastAsia="Times New Roman" w:hAnsi="Arial" w:cs="Arial"/>
          <w:color w:val="000000"/>
        </w:rPr>
        <w:t xml:space="preserve"> </w:t>
      </w:r>
      <w:r w:rsidRPr="00EA5052">
        <w:rPr>
          <w:rFonts w:ascii="Arial" w:eastAsia="Times New Roman" w:hAnsi="Arial" w:cs="Arial"/>
          <w:color w:val="000000"/>
          <w:shd w:val="clear" w:color="auto" w:fill="FFFFFF"/>
        </w:rPr>
        <w:t>(Cael et al., 2018)</w:t>
      </w:r>
      <w:r w:rsidRPr="00EA5052">
        <w:rPr>
          <w:rFonts w:ascii="Arial" w:eastAsia="Times New Roman" w:hAnsi="Arial" w:cs="Arial"/>
          <w:color w:val="000000"/>
        </w:rPr>
        <w:t xml:space="preserve">. This term is commonly used interchangeably with the virus to bacteria ratio, as it is generally thought that the VMR is dominated by the interaction between prokaryotes and bacteriophage. Lower VMRs are indicative of conditions which are thought to evolutionarily favor lysogeny, such as high rates of extracellular virion decay or slow viral production rates </w:t>
      </w:r>
      <w:r w:rsidRPr="00EA5052">
        <w:rPr>
          <w:rFonts w:ascii="Arial" w:eastAsia="Times New Roman" w:hAnsi="Arial" w:cs="Arial"/>
          <w:color w:val="000000"/>
          <w:shd w:val="clear" w:color="auto" w:fill="FFFFFF"/>
        </w:rPr>
        <w:t>(Howard-Varona et al., 2017)</w:t>
      </w:r>
      <w:r w:rsidRPr="00EA5052">
        <w:rPr>
          <w:rFonts w:ascii="Arial" w:eastAsia="Times New Roman" w:hAnsi="Arial" w:cs="Arial"/>
          <w:color w:val="000000"/>
        </w:rPr>
        <w:t>. Additionally, bacterial populations may benefit from the additional genetic diversity conferred by transduction of genes by phages or from other phage-encoded genes improving fitness. Measurement of the VMR may be accomplished through directly counting bacteria and virions, using methods similar to those used in forced induction studies. Then, the virion count may be divided by the bacterial count to find the VMR. One issue with this measurement is that it does not appear to be directly mechanistically linked to lysogeny. Instead, it indirectly measures a factor thought to favor lysogeny in an ecosystem. Additionally, this method suffers from the same issues regarding ‘fake virus particles’ as mentioned above. </w:t>
      </w:r>
    </w:p>
    <w:p w14:paraId="7381CA0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Several studies have shown a decrease in VMR at high host densities (Knowles et al., 2016; </w:t>
      </w:r>
      <w:r w:rsidRPr="00EA5052">
        <w:rPr>
          <w:rFonts w:ascii="Arial" w:eastAsia="Times New Roman" w:hAnsi="Arial" w:cs="Arial"/>
          <w:color w:val="000000"/>
          <w:shd w:val="clear" w:color="auto" w:fill="FFFFFF"/>
        </w:rPr>
        <w:t>Wigington et al., 2016</w:t>
      </w:r>
      <w:r w:rsidRPr="00EA5052">
        <w:rPr>
          <w:rFonts w:ascii="Arial" w:eastAsia="Times New Roman" w:hAnsi="Arial" w:cs="Arial"/>
          <w:color w:val="000000"/>
        </w:rPr>
        <w:t xml:space="preserve">). A mechanism involving the increased prevalence of lysogeny at high host densities has been proposed to explain this phenomenon. However, this proposed link </w:t>
      </w:r>
      <w:r w:rsidRPr="00EA5052">
        <w:rPr>
          <w:rFonts w:ascii="Arial" w:eastAsia="Times New Roman" w:hAnsi="Arial" w:cs="Arial"/>
          <w:color w:val="000000"/>
        </w:rPr>
        <w:lastRenderedPageBreak/>
        <w:t xml:space="preserve">between the decrease in VMR and an increased prevalence of lysogeny has been disputed </w:t>
      </w:r>
      <w:r w:rsidRPr="00EA5052">
        <w:rPr>
          <w:rFonts w:ascii="Arial" w:eastAsia="Times New Roman" w:hAnsi="Arial" w:cs="Arial"/>
          <w:color w:val="000000"/>
          <w:shd w:val="clear" w:color="auto" w:fill="FFFFFF"/>
        </w:rPr>
        <w:t>(Weitz et al., 2017)</w:t>
      </w:r>
      <w:r w:rsidRPr="00EA5052">
        <w:rPr>
          <w:rFonts w:ascii="Arial" w:eastAsia="Times New Roman" w:hAnsi="Arial" w:cs="Arial"/>
          <w:color w:val="000000"/>
        </w:rPr>
        <w:t>.</w:t>
      </w:r>
    </w:p>
    <w:p w14:paraId="553075DD"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Genomics (and other ‘omics’)</w:t>
      </w:r>
    </w:p>
    <w:p w14:paraId="3F267AEC"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Phages may be identified by sequencing their genomes, whether they exist as free phages or are integrated into a bacterial genome. Based on this principle, genomics may be used in various ways to identify genetic indicators of lysogeny. In phage ecology, metagenomics are typically used to identify these genetic indicators of lysogeny. Briefly, metagenomics involves the sequencing of all DNA found in an environmental sample, followed by bioinformatic analysis of these sequences </w:t>
      </w:r>
      <w:r w:rsidRPr="00EA5052">
        <w:rPr>
          <w:rFonts w:ascii="Arial" w:eastAsia="Times New Roman" w:hAnsi="Arial" w:cs="Arial"/>
          <w:color w:val="000000"/>
          <w:shd w:val="clear" w:color="auto" w:fill="FFFFFF"/>
        </w:rPr>
        <w:t>(Hoyles &amp; Swann, 2019)</w:t>
      </w:r>
      <w:r w:rsidRPr="00EA5052">
        <w:rPr>
          <w:rFonts w:ascii="Arial" w:eastAsia="Times New Roman" w:hAnsi="Arial" w:cs="Arial"/>
          <w:color w:val="000000"/>
        </w:rPr>
        <w:t>. </w:t>
      </w:r>
    </w:p>
    <w:p w14:paraId="42468F31"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Temperate Markers in Free Phage Genomes </w:t>
      </w:r>
    </w:p>
    <w:p w14:paraId="27F03460"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45161E17" w14:textId="77777777" w:rsidR="00EA5052" w:rsidRPr="00EA5052" w:rsidRDefault="00EA5052" w:rsidP="00EA5052">
      <w:pPr>
        <w:numPr>
          <w:ilvl w:val="0"/>
          <w:numId w:val="11"/>
        </w:numPr>
        <w:spacing w:after="0" w:line="240" w:lineRule="auto"/>
        <w:textAlignment w:val="baseline"/>
        <w:rPr>
          <w:rFonts w:ascii="Arial" w:eastAsia="Times New Roman" w:hAnsi="Arial" w:cs="Arial"/>
          <w:color w:val="000000"/>
        </w:rPr>
      </w:pPr>
      <w:r w:rsidRPr="00EA5052">
        <w:rPr>
          <w:rFonts w:ascii="Arial" w:eastAsia="Times New Roman" w:hAnsi="Arial" w:cs="Arial"/>
          <w:i/>
          <w:iCs/>
          <w:color w:val="000000"/>
        </w:rPr>
        <w:t xml:space="preserve">Virulence factor: </w:t>
      </w:r>
      <w:r w:rsidRPr="00EA5052">
        <w:rPr>
          <w:rFonts w:ascii="Arial" w:eastAsia="Times New Roman" w:hAnsi="Arial" w:cs="Arial"/>
          <w:color w:val="000000"/>
        </w:rPr>
        <w:t xml:space="preserve">Phage-encoded genes promoting increased pathogenicity of the phage’s host </w:t>
      </w:r>
      <w:r w:rsidRPr="00EA5052">
        <w:rPr>
          <w:rFonts w:ascii="Arial" w:eastAsia="Times New Roman" w:hAnsi="Arial" w:cs="Arial"/>
          <w:color w:val="000000"/>
          <w:shd w:val="clear" w:color="auto" w:fill="FFFFFF"/>
        </w:rPr>
        <w:t>(Boyd, 2012)</w:t>
      </w:r>
      <w:r w:rsidRPr="00EA5052">
        <w:rPr>
          <w:rFonts w:ascii="Arial" w:eastAsia="Times New Roman" w:hAnsi="Arial" w:cs="Arial"/>
          <w:color w:val="000000"/>
        </w:rPr>
        <w:t>. Not to be confused with virulent phage.</w:t>
      </w:r>
    </w:p>
    <w:p w14:paraId="7C8D42AD" w14:textId="77777777" w:rsidR="00EA5052" w:rsidRPr="00EA5052" w:rsidRDefault="00EA5052" w:rsidP="00EA5052">
      <w:pPr>
        <w:numPr>
          <w:ilvl w:val="0"/>
          <w:numId w:val="11"/>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Integrase: </w:t>
      </w:r>
      <w:r w:rsidRPr="00EA5052">
        <w:rPr>
          <w:rFonts w:ascii="Arial" w:eastAsia="Times New Roman" w:hAnsi="Arial" w:cs="Arial"/>
          <w:color w:val="000000"/>
        </w:rPr>
        <w:t xml:space="preserve">Enzyme used by temperate phages to integrate into bacterial genome; also used to excise prophages from bacterial genome </w:t>
      </w:r>
      <w:r w:rsidRPr="00EA5052">
        <w:rPr>
          <w:rFonts w:ascii="Arial" w:eastAsia="Times New Roman" w:hAnsi="Arial" w:cs="Arial"/>
          <w:color w:val="000000"/>
          <w:shd w:val="clear" w:color="auto" w:fill="FFFFFF"/>
        </w:rPr>
        <w:t>(Groth &amp; Calos, 2004)</w:t>
      </w:r>
      <w:r w:rsidRPr="00EA5052">
        <w:rPr>
          <w:rFonts w:ascii="Arial" w:eastAsia="Times New Roman" w:hAnsi="Arial" w:cs="Arial"/>
          <w:color w:val="000000"/>
        </w:rPr>
        <w:t>.</w:t>
      </w:r>
    </w:p>
    <w:p w14:paraId="5243DD62" w14:textId="77777777" w:rsidR="00EA5052" w:rsidRPr="00EA5052" w:rsidRDefault="00EA5052" w:rsidP="00EA5052">
      <w:pPr>
        <w:numPr>
          <w:ilvl w:val="0"/>
          <w:numId w:val="11"/>
        </w:numPr>
        <w:spacing w:after="0"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Excisionase: </w:t>
      </w:r>
      <w:r w:rsidRPr="00EA5052">
        <w:rPr>
          <w:rFonts w:ascii="Arial" w:eastAsia="Times New Roman" w:hAnsi="Arial" w:cs="Arial"/>
          <w:color w:val="000000"/>
        </w:rPr>
        <w:t xml:space="preserve">Enzyme used by temperate phages (in prophage form) to excise itself from bacterial genome </w:t>
      </w:r>
      <w:r w:rsidRPr="00EA5052">
        <w:rPr>
          <w:rFonts w:ascii="Arial" w:eastAsia="Times New Roman" w:hAnsi="Arial" w:cs="Arial"/>
          <w:color w:val="000000"/>
          <w:shd w:val="clear" w:color="auto" w:fill="FFFFFF"/>
        </w:rPr>
        <w:t>(Cho et al., 2002)</w:t>
      </w:r>
      <w:r w:rsidRPr="00EA5052">
        <w:rPr>
          <w:rFonts w:ascii="Arial" w:eastAsia="Times New Roman" w:hAnsi="Arial" w:cs="Arial"/>
          <w:color w:val="000000"/>
        </w:rPr>
        <w:t>. </w:t>
      </w:r>
    </w:p>
    <w:p w14:paraId="1090E03B" w14:textId="77777777" w:rsidR="00EA5052" w:rsidRPr="00EA5052" w:rsidRDefault="00EA5052" w:rsidP="00EA5052">
      <w:pPr>
        <w:numPr>
          <w:ilvl w:val="0"/>
          <w:numId w:val="11"/>
        </w:numPr>
        <w:spacing w:line="240" w:lineRule="auto"/>
        <w:textAlignment w:val="baseline"/>
        <w:rPr>
          <w:rFonts w:ascii="Arial" w:eastAsia="Times New Roman" w:hAnsi="Arial" w:cs="Arial"/>
          <w:i/>
          <w:iCs/>
          <w:color w:val="000000"/>
        </w:rPr>
      </w:pPr>
      <w:r w:rsidRPr="00EA5052">
        <w:rPr>
          <w:rFonts w:ascii="Arial" w:eastAsia="Times New Roman" w:hAnsi="Arial" w:cs="Arial"/>
          <w:i/>
          <w:iCs/>
          <w:color w:val="000000"/>
        </w:rPr>
        <w:t xml:space="preserve">CI repressor: </w:t>
      </w:r>
      <w:r w:rsidRPr="00EA5052">
        <w:rPr>
          <w:rFonts w:ascii="Arial" w:eastAsia="Times New Roman" w:hAnsi="Arial" w:cs="Arial"/>
          <w:color w:val="000000"/>
        </w:rPr>
        <w:t>Repressor responsible for maintaining lysogenic state in phage lambda (Gandon, 2016). </w:t>
      </w:r>
    </w:p>
    <w:p w14:paraId="20F6F2EE"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 genome of a phage determines whether or not it is capable of lysogeny. Measuring the presence of lysogeny-related genes in free phage metagenomes may reveal </w:t>
      </w:r>
      <w:r w:rsidRPr="00EA5052">
        <w:rPr>
          <w:rFonts w:ascii="Arial" w:eastAsia="Times New Roman" w:hAnsi="Arial" w:cs="Arial"/>
          <w:b/>
          <w:bCs/>
          <w:color w:val="000000"/>
        </w:rPr>
        <w:t xml:space="preserve">the existence and relative proportions of free temperate phages. </w:t>
      </w:r>
      <w:r w:rsidRPr="00EA5052">
        <w:rPr>
          <w:rFonts w:ascii="Arial" w:eastAsia="Times New Roman" w:hAnsi="Arial" w:cs="Arial"/>
          <w:color w:val="000000"/>
        </w:rPr>
        <w:t xml:space="preserve">However, there exist several theoretical risks with this approach. Virulent phages are descended from temperate phages, and may show genomic similarity. Therefore, metagenomic methods designed to detect free temperate phages may also detect virulent phages, which cannot undergo the lysogenic cycle. On a more fundamental level, the presence of temperate genes in the environment does not necessarily indicate that these genes are being used; an increase in temperate genes in an environment may also indicate that the environment promotes the lytic mode of replication among temperate phages or the induction of prophages </w:t>
      </w:r>
      <w:r w:rsidRPr="00EA5052">
        <w:rPr>
          <w:rFonts w:ascii="Arial" w:eastAsia="Times New Roman" w:hAnsi="Arial" w:cs="Arial"/>
          <w:color w:val="000000"/>
          <w:shd w:val="clear" w:color="auto" w:fill="FFFFFF"/>
        </w:rPr>
        <w:t>(Weitz et al., 2017)</w:t>
      </w:r>
      <w:r w:rsidRPr="00EA5052">
        <w:rPr>
          <w:rFonts w:ascii="Arial" w:eastAsia="Times New Roman" w:hAnsi="Arial" w:cs="Arial"/>
          <w:color w:val="000000"/>
        </w:rPr>
        <w:t>.</w:t>
      </w:r>
    </w:p>
    <w:p w14:paraId="3CD2507B"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metagenomic studies in viral ecology come from aquatic ecosystems, such as freshwater or marine biomes. The following procedure is approximately representative of the data collection steps in many of these studies </w:t>
      </w:r>
      <w:r w:rsidRPr="00EA5052">
        <w:rPr>
          <w:rFonts w:ascii="Arial" w:eastAsia="Times New Roman" w:hAnsi="Arial" w:cs="Arial"/>
          <w:color w:val="000000"/>
          <w:shd w:val="clear" w:color="auto" w:fill="FFFFFF"/>
        </w:rPr>
        <w:t>(Angly et al., 2006; Breitbart et al., 2002; Cassman et al., 2012, Dinsdale et al., 2008; Luo et al., 2017; Mende et al., 2017)</w:t>
      </w:r>
      <w:r w:rsidRPr="00EA5052">
        <w:rPr>
          <w:rFonts w:ascii="Arial" w:eastAsia="Times New Roman" w:hAnsi="Arial" w:cs="Arial"/>
          <w:color w:val="000000"/>
        </w:rPr>
        <w:t xml:space="preserve">. For more details, the protocol published by Casas &amp; Rohwer is representative of most protocols which have been reviewed. Samples of water are collected from a desired ecosystem. The samples were then filtered with a filter designed to remove small microbes such as bacteria, leaving only viruses. Most of these filters focus on viruses smaller than 0.22 </w:t>
      </w:r>
      <w:r w:rsidRPr="00EA5052">
        <w:rPr>
          <w:rFonts w:ascii="Arial" w:eastAsia="Times New Roman" w:hAnsi="Arial" w:cs="Arial"/>
          <w:color w:val="000000"/>
          <w:shd w:val="clear" w:color="auto" w:fill="FFFFFF"/>
        </w:rPr>
        <w:t xml:space="preserve">µm in diameter, a fraction which contains most of the viral particles. </w:t>
      </w:r>
      <w:r w:rsidRPr="00EA5052">
        <w:rPr>
          <w:rFonts w:ascii="Arial" w:eastAsia="Times New Roman" w:hAnsi="Arial" w:cs="Arial"/>
          <w:color w:val="000000"/>
        </w:rPr>
        <w:t xml:space="preserve">It is important to note that this step could occur before or after a concentration step (tangential flow filtration). Phages were then typically concentrated and purified with cesium chloride density-dependent centrifugation, a process designed to remove free DNA and cellular material. Nucleic acids were then extracted from the viruses using a method involving the lysis of the viruses, then amplified using commercial amplification kits. Various sequencing methods (mostly pyrosequencing) were used to sequence viral genomes, but all constituted a ‘shotgun’ sequencing approach </w:t>
      </w:r>
      <w:r w:rsidRPr="00EA5052">
        <w:rPr>
          <w:rFonts w:ascii="Arial" w:eastAsia="Times New Roman" w:hAnsi="Arial" w:cs="Arial"/>
          <w:color w:val="000000"/>
          <w:shd w:val="clear" w:color="auto" w:fill="FFFFFF"/>
        </w:rPr>
        <w:t>(Petrosino et al., 2009)</w:t>
      </w:r>
      <w:r w:rsidRPr="00EA5052">
        <w:rPr>
          <w:rFonts w:ascii="Arial" w:eastAsia="Times New Roman" w:hAnsi="Arial" w:cs="Arial"/>
          <w:color w:val="000000"/>
        </w:rPr>
        <w:t xml:space="preserve">. Short fragments of nucleic acids (‘reads’) were sequenced, and either assembled into a full contiguous (‘contig’) sequence using bioinformatic tools, or were analyzed without assembly. For contig assembly, contigs were assembled based </w:t>
      </w:r>
      <w:r w:rsidRPr="00EA5052">
        <w:rPr>
          <w:rFonts w:ascii="Arial" w:eastAsia="Times New Roman" w:hAnsi="Arial" w:cs="Arial"/>
          <w:color w:val="000000"/>
        </w:rPr>
        <w:lastRenderedPageBreak/>
        <w:t xml:space="preserve">on read sequence overlaps. Bioinformatic comparison tools such as BLAST, which were typically used to understand the metagenomic genomes, are typically based on sequence similarity to known sequences. However, a known limitation with metagenomics as a whole is that it is difficult to determine whether or not a contig belongs to a single organism </w:t>
      </w:r>
      <w:r w:rsidRPr="00EA5052">
        <w:rPr>
          <w:rFonts w:ascii="Arial" w:eastAsia="Times New Roman" w:hAnsi="Arial" w:cs="Arial"/>
          <w:color w:val="000000"/>
          <w:shd w:val="clear" w:color="auto" w:fill="FFFFFF"/>
        </w:rPr>
        <w:t>(Quince et al., 2017)</w:t>
      </w:r>
      <w:r w:rsidRPr="00EA5052">
        <w:rPr>
          <w:rFonts w:ascii="Arial" w:eastAsia="Times New Roman" w:hAnsi="Arial" w:cs="Arial"/>
          <w:color w:val="000000"/>
        </w:rPr>
        <w:t>. A contig incorporating sequences from multiple organisms is known as a ‘chimera’, which may be avoided in several ways. For example, some metagenomic studies do not attempt to assemble contigs, instead analyzing each read separately (</w:t>
      </w:r>
      <w:r w:rsidRPr="00EA5052">
        <w:rPr>
          <w:rFonts w:ascii="Arial" w:eastAsia="Times New Roman" w:hAnsi="Arial" w:cs="Arial"/>
          <w:color w:val="000000"/>
          <w:shd w:val="clear" w:color="auto" w:fill="FFFFFF"/>
        </w:rPr>
        <w:t>Cassman et al., 2012)</w:t>
      </w:r>
      <w:r w:rsidRPr="00EA5052">
        <w:rPr>
          <w:rFonts w:ascii="Arial" w:eastAsia="Times New Roman" w:hAnsi="Arial" w:cs="Arial"/>
          <w:color w:val="000000"/>
        </w:rPr>
        <w:t>. Theoretically, another way to avoid this issue is the sequencing of viral isolates, as each phage only contains one genome (and therefore, the contig would have to belong to a single organism).</w:t>
      </w:r>
    </w:p>
    <w:p w14:paraId="6B66451D"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Regardless of these challenges, the measurement of temperate phage markers is widely used to study phage ecology. Some common genes used to determine the presence of temperate phage are genes directly associated with the temperate life cycle, such as genes coding for integrase, excisionase, and the lambda CI repressor (Luo et al., 2017). One study combining the metagenomic and the forced induction approaches showed that the presence of free temperate phage as measured by integrase levels corresponded with an increased proportion of lysogens as measured by the forced induction method, possibly alleviating some theoretical concerns with the use of integrase as a proxy for lysogeny </w:t>
      </w:r>
      <w:r w:rsidRPr="00EA5052">
        <w:rPr>
          <w:rFonts w:ascii="Arial" w:eastAsia="Times New Roman" w:hAnsi="Arial" w:cs="Arial"/>
          <w:color w:val="000000"/>
          <w:shd w:val="clear" w:color="auto" w:fill="FFFFFF"/>
        </w:rPr>
        <w:t>(McDaniel et al., 2008)</w:t>
      </w:r>
      <w:r w:rsidRPr="00EA5052">
        <w:rPr>
          <w:rFonts w:ascii="Arial" w:eastAsia="Times New Roman" w:hAnsi="Arial" w:cs="Arial"/>
          <w:color w:val="000000"/>
        </w:rPr>
        <w:t xml:space="preserve">. Similarly, the presence of temperate phage may also be measured through the presence of genes coding for virulence factors. It is thought that temperate phages encode virulence factors as a way of benefitting hosts which would benefit from such genes, as phages benefit more from lysogenizing such fast-growing pathogenic bacteria compared to slow-growing, free living bacteria (Touchon et al., 2016). Additionally, phylogeny has also been used to identify members of a known clade of temperate phage, based on the evolution of a conserved viral gene </w:t>
      </w:r>
      <w:r w:rsidRPr="00EA5052">
        <w:rPr>
          <w:rFonts w:ascii="Arial" w:eastAsia="Times New Roman" w:hAnsi="Arial" w:cs="Arial"/>
          <w:color w:val="000000"/>
          <w:shd w:val="clear" w:color="auto" w:fill="FFFFFF"/>
        </w:rPr>
        <w:t>(Schmidt et al., 2013)</w:t>
      </w:r>
      <w:r w:rsidRPr="00EA5052">
        <w:rPr>
          <w:rFonts w:ascii="Arial" w:eastAsia="Times New Roman" w:hAnsi="Arial" w:cs="Arial"/>
          <w:color w:val="000000"/>
        </w:rPr>
        <w:t>.</w:t>
      </w:r>
    </w:p>
    <w:p w14:paraId="4D765FD9"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Moving beyond the examination of single gene markers, entire phage genomes or metagenomes have been analyzed for their similarity to known temperate phages to determine the presence of temperate phage (Dinsdale et al., 2008). One unique challenge with this approach is that it may be unable to detect temperate phages dissimilar to currently known phages. This may be problematic, as it has been shown that prophage communities carry many unique sequences which do not appear in known genomic databases (McDaniel et al., 2013).</w:t>
      </w:r>
    </w:p>
    <w:p w14:paraId="5147DA7A"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Genomic Diversity of Phages</w:t>
      </w:r>
    </w:p>
    <w:p w14:paraId="4C956192"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It has been observed that there is </w:t>
      </w:r>
      <w:r w:rsidRPr="00EA5052">
        <w:rPr>
          <w:rFonts w:ascii="Arial" w:eastAsia="Times New Roman" w:hAnsi="Arial" w:cs="Arial"/>
          <w:b/>
          <w:bCs/>
          <w:color w:val="000000"/>
        </w:rPr>
        <w:t>a decrease in free phage genomic diversity</w:t>
      </w:r>
      <w:r w:rsidRPr="00EA5052">
        <w:rPr>
          <w:rFonts w:ascii="Arial" w:eastAsia="Times New Roman" w:hAnsi="Arial" w:cs="Arial"/>
          <w:color w:val="000000"/>
        </w:rPr>
        <w:t xml:space="preserve"> in extreme environments, which has lead to the hypothesis that the decrease in phage diversity in extreme environments is related to the lowered diversity of hosts capable of surviving extreme conditions, coupled with the high host specificity of phages </w:t>
      </w:r>
      <w:r w:rsidRPr="00EA5052">
        <w:rPr>
          <w:rFonts w:ascii="Arial" w:eastAsia="Times New Roman" w:hAnsi="Arial" w:cs="Arial"/>
          <w:color w:val="000000"/>
          <w:shd w:val="clear" w:color="auto" w:fill="FFFFFF"/>
        </w:rPr>
        <w:t>(Cassman et al., 2012; Williamson, Cary et al., 2008)</w:t>
      </w:r>
      <w:r w:rsidRPr="00EA5052">
        <w:rPr>
          <w:rFonts w:ascii="Arial" w:eastAsia="Times New Roman" w:hAnsi="Arial" w:cs="Arial"/>
          <w:color w:val="000000"/>
        </w:rPr>
        <w:t>.  It is also hypothesized that lysogeny is favored in extreme environments, allowing the transmission of beneficial phenotypes for the hosts, while reducing the likelihood that the phage will be destroyed outside the bacterium. This would support a correlation between lysogeny and lowered phage diversity mediated by extreme environments, but other studies have shown a similar reduction in phage diversity in induced prophages in non-extreme environments (McDaniel et al., 2013). The mechanism behind the reduction of genomic diversity where lysogeny is favored (or in induced prophages) might be extreme environments; if this is the case, there is no direct mechanistic link between genomic diversity and lysogeny. Additionally, this would also share a likely mechanistic cause with a reduction in VMR, which is probably more easily measured. Studies measuring phage genomic diversity use the previously described metagenomic methods for isolating and sequencing phages. </w:t>
      </w:r>
    </w:p>
    <w:p w14:paraId="19CD036B"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Prophages in Bacterial Genomes</w:t>
      </w:r>
    </w:p>
    <w:p w14:paraId="6908F07E"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lastRenderedPageBreak/>
        <w:t xml:space="preserve">An infecting temperate phage undergoing the lysogenic cycle will incorporate its genome into the bacterial genome. By identifying phage genomes within bacterial genomes, we may identify </w:t>
      </w:r>
      <w:r w:rsidRPr="00EA5052">
        <w:rPr>
          <w:rFonts w:ascii="Arial" w:eastAsia="Times New Roman" w:hAnsi="Arial" w:cs="Arial"/>
          <w:b/>
          <w:bCs/>
          <w:color w:val="000000"/>
        </w:rPr>
        <w:t xml:space="preserve">prophage sequences within sequenced bacterial genomes. </w:t>
      </w:r>
      <w:r w:rsidRPr="00EA5052">
        <w:rPr>
          <w:rFonts w:ascii="Arial" w:eastAsia="Times New Roman" w:hAnsi="Arial" w:cs="Arial"/>
          <w:color w:val="000000"/>
        </w:rPr>
        <w:t xml:space="preserve">Using current bioinformatic tools, one may even differentiate between active prophages and prophage-like sequences (cryptic prophages). Prophage-finding tools work by scanning a bacterial genome for sequence similarity with known prophages </w:t>
      </w:r>
      <w:r w:rsidRPr="00EA5052">
        <w:rPr>
          <w:rFonts w:ascii="Arial" w:eastAsia="Times New Roman" w:hAnsi="Arial" w:cs="Arial"/>
          <w:color w:val="000000"/>
          <w:shd w:val="clear" w:color="auto" w:fill="FFFFFF"/>
        </w:rPr>
        <w:t>(Lima-Mendez et al., 2008)</w:t>
      </w:r>
      <w:r w:rsidRPr="00EA5052">
        <w:rPr>
          <w:rFonts w:ascii="Arial" w:eastAsia="Times New Roman" w:hAnsi="Arial" w:cs="Arial"/>
          <w:color w:val="000000"/>
        </w:rPr>
        <w:t>. </w:t>
      </w:r>
    </w:p>
    <w:p w14:paraId="16FEFCB3"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Several studies have utilized this technique to identify prophages within published data, whether obtained from metagenomic or single-cell sequencing. For example, one study was able to quantify the relative abundance of lysogenic infections from human gut metagenomes based on the presence of prophages within bacterial genomes. These microbial metagenomes may be obtained through a similar method to viral metagenomes, but by selecting the microbial fraction with diameters between </w:t>
      </w:r>
      <w:r w:rsidRPr="00EA5052">
        <w:rPr>
          <w:rFonts w:ascii="Arial" w:eastAsia="Times New Roman" w:hAnsi="Arial" w:cs="Arial"/>
          <w:color w:val="202020"/>
          <w:shd w:val="clear" w:color="auto" w:fill="FFFFFF"/>
        </w:rPr>
        <w:t xml:space="preserve">0.22 µm-1.6 µm </w:t>
      </w:r>
      <w:r w:rsidRPr="00EA5052">
        <w:rPr>
          <w:rFonts w:ascii="Arial" w:eastAsia="Times New Roman" w:hAnsi="Arial" w:cs="Arial"/>
          <w:color w:val="000000"/>
        </w:rPr>
        <w:t>(Williamson, Rush et al., 2008).</w:t>
      </w:r>
    </w:p>
    <w:p w14:paraId="4F311A38"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rPr>
        <w:t>Lysogenic Gene Activity in Bacteria</w:t>
      </w:r>
    </w:p>
    <w:p w14:paraId="29C7C33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The activity of lysogeny-related genes can be measured through the relative numbers of gene transcripts. Therefore, when observing bacteria, the activity of lysogeny-associated gene transcripts likely indicates the presence of </w:t>
      </w:r>
      <w:r w:rsidRPr="00EA5052">
        <w:rPr>
          <w:rFonts w:ascii="Arial" w:eastAsia="Times New Roman" w:hAnsi="Arial" w:cs="Arial"/>
          <w:b/>
          <w:bCs/>
          <w:color w:val="000000"/>
        </w:rPr>
        <w:t xml:space="preserve">temperate phages undergoing activities related to the lysogenic cycle within the bacterial population. </w:t>
      </w:r>
      <w:r w:rsidRPr="00EA5052">
        <w:rPr>
          <w:rFonts w:ascii="Arial" w:eastAsia="Times New Roman" w:hAnsi="Arial" w:cs="Arial"/>
          <w:color w:val="000000"/>
        </w:rPr>
        <w:t xml:space="preserve">It is also possible to measure the activity of the lytic cycle in a similar fashion through measuring the activity of lytic cycle-associated gene products. For example, one study found that the activity of the lysogenic genes transposase and recombinase were significantly negatively correlated with the activity of the gene coding for a viral tail sheath, a gene associated with the lytic cycle </w:t>
      </w:r>
      <w:r w:rsidRPr="00EA5052">
        <w:rPr>
          <w:rFonts w:ascii="Arial" w:eastAsia="Times New Roman" w:hAnsi="Arial" w:cs="Arial"/>
          <w:color w:val="000000"/>
          <w:shd w:val="clear" w:color="auto" w:fill="FFFFFF"/>
        </w:rPr>
        <w:t>(Stough et al., 2017)</w:t>
      </w:r>
      <w:r w:rsidRPr="00EA5052">
        <w:rPr>
          <w:rFonts w:ascii="Arial" w:eastAsia="Times New Roman" w:hAnsi="Arial" w:cs="Arial"/>
          <w:color w:val="000000"/>
        </w:rPr>
        <w:t>. Transcriptomes may be characterized using methods similar to the metagenomic methods described above (</w:t>
      </w:r>
      <w:r w:rsidRPr="00EA5052">
        <w:rPr>
          <w:rFonts w:ascii="Arial" w:eastAsia="Times New Roman" w:hAnsi="Arial" w:cs="Arial"/>
          <w:color w:val="000000"/>
          <w:shd w:val="clear" w:color="auto" w:fill="FFFFFF"/>
        </w:rPr>
        <w:t>Stough et al., 2017</w:t>
      </w:r>
      <w:r w:rsidRPr="00EA5052">
        <w:rPr>
          <w:rFonts w:ascii="Arial" w:eastAsia="Times New Roman" w:hAnsi="Arial" w:cs="Arial"/>
          <w:color w:val="000000"/>
        </w:rPr>
        <w:t xml:space="preserve">, </w:t>
      </w:r>
      <w:r w:rsidRPr="00EA5052">
        <w:rPr>
          <w:rFonts w:ascii="Arial" w:eastAsia="Times New Roman" w:hAnsi="Arial" w:cs="Arial"/>
          <w:color w:val="000000"/>
          <w:shd w:val="clear" w:color="auto" w:fill="FFFFFF"/>
        </w:rPr>
        <w:t>Santiago-Rodriguez et al., 2015)</w:t>
      </w:r>
      <w:r w:rsidRPr="00EA5052">
        <w:rPr>
          <w:rFonts w:ascii="Arial" w:eastAsia="Times New Roman" w:hAnsi="Arial" w:cs="Arial"/>
          <w:color w:val="000000"/>
        </w:rPr>
        <w:t xml:space="preserve">. Microbial samples were taken from an ecosystem, followed by the extraction of all the RNA in the sample. Then, rRNA was removed and the remaining mRNA (and probably tRNA) was sequenced using shotgun sequencing. However, there may still exist theoretical problems with using this approach to measure lysogeny, related to temperate genes with multiple functions such as integrase. For example, integrase may be used to both initiate and end the lysogenic cycle, and therefore, measuring integrase activity may be insufficient to determine whether or not lysogeny is favored in a system </w:t>
      </w:r>
      <w:r w:rsidRPr="00EA5052">
        <w:rPr>
          <w:rFonts w:ascii="Arial" w:eastAsia="Times New Roman" w:hAnsi="Arial" w:cs="Arial"/>
          <w:color w:val="000000"/>
          <w:shd w:val="clear" w:color="auto" w:fill="FFFFFF"/>
        </w:rPr>
        <w:t>(Cho et al., 2002)</w:t>
      </w:r>
      <w:r w:rsidRPr="00EA5052">
        <w:rPr>
          <w:rFonts w:ascii="Arial" w:eastAsia="Times New Roman" w:hAnsi="Arial" w:cs="Arial"/>
          <w:color w:val="000000"/>
        </w:rPr>
        <w:t>. </w:t>
      </w:r>
    </w:p>
    <w:p w14:paraId="6F98EBE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Polymerase Chain Reaction </w:t>
      </w:r>
    </w:p>
    <w:p w14:paraId="589EA50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i/>
          <w:iCs/>
          <w:color w:val="000000"/>
        </w:rPr>
        <w:t>Additional Definitions:</w:t>
      </w:r>
    </w:p>
    <w:p w14:paraId="592CF818" w14:textId="77777777" w:rsidR="00EA5052" w:rsidRPr="00EA5052" w:rsidRDefault="00EA5052" w:rsidP="00EA5052">
      <w:pPr>
        <w:numPr>
          <w:ilvl w:val="0"/>
          <w:numId w:val="12"/>
        </w:numPr>
        <w:spacing w:before="240" w:after="240" w:line="240" w:lineRule="auto"/>
        <w:textAlignment w:val="baseline"/>
        <w:rPr>
          <w:rFonts w:ascii="Arial" w:eastAsia="Times New Roman" w:hAnsi="Arial" w:cs="Arial"/>
          <w:color w:val="000000"/>
        </w:rPr>
      </w:pPr>
      <w:r w:rsidRPr="00EA5052">
        <w:rPr>
          <w:rFonts w:ascii="Arial" w:eastAsia="Times New Roman" w:hAnsi="Arial" w:cs="Arial"/>
          <w:color w:val="000000"/>
        </w:rPr>
        <w:t> </w:t>
      </w:r>
      <w:r w:rsidRPr="00EA5052">
        <w:rPr>
          <w:rFonts w:ascii="Arial" w:eastAsia="Times New Roman" w:hAnsi="Arial" w:cs="Arial"/>
          <w:i/>
          <w:iCs/>
          <w:color w:val="000000"/>
        </w:rPr>
        <w:t xml:space="preserve">Polymerase chain reaction (PCR): </w:t>
      </w:r>
      <w:r w:rsidRPr="00EA5052">
        <w:rPr>
          <w:rFonts w:ascii="Arial" w:eastAsia="Times New Roman" w:hAnsi="Arial" w:cs="Arial"/>
          <w:color w:val="000000"/>
        </w:rPr>
        <w:t xml:space="preserve">A method of replicating any sequences bracketed between two given primer sequences </w:t>
      </w:r>
      <w:r w:rsidRPr="00EA5052">
        <w:rPr>
          <w:rFonts w:ascii="Arial" w:eastAsia="Times New Roman" w:hAnsi="Arial" w:cs="Arial"/>
          <w:color w:val="000000"/>
          <w:shd w:val="clear" w:color="auto" w:fill="FFFFFF"/>
        </w:rPr>
        <w:t>(Karcher, 1995)</w:t>
      </w:r>
      <w:r w:rsidRPr="00EA5052">
        <w:rPr>
          <w:rFonts w:ascii="Arial" w:eastAsia="Times New Roman" w:hAnsi="Arial" w:cs="Arial"/>
          <w:color w:val="000000"/>
        </w:rPr>
        <w:t>. </w:t>
      </w:r>
    </w:p>
    <w:p w14:paraId="2D369DA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PCR is capable of detecting any sequence between two primers. One simple use of this idea is to use PCR to detect temperate phage by detecting a conserved temperate viral gene, and also using PCR to detect bacteria by detecting a conserved bacterial gene. One study diluted a bacterial sample from the environment such that, on average, only one bacteria resided in each well of a multi-well plate, then used the PCR method to determine which wells contained both a bacterium and a virus associated with the bacterium (Tadmor et al., 2011). Using this method, the researchers identified </w:t>
      </w:r>
      <w:r w:rsidRPr="00EA5052">
        <w:rPr>
          <w:rFonts w:ascii="Arial" w:eastAsia="Times New Roman" w:hAnsi="Arial" w:cs="Arial"/>
          <w:b/>
          <w:bCs/>
          <w:color w:val="000000"/>
        </w:rPr>
        <w:t>novel temperate phage-host pairs</w:t>
      </w:r>
      <w:r w:rsidRPr="00EA5052">
        <w:rPr>
          <w:rFonts w:ascii="Arial" w:eastAsia="Times New Roman" w:hAnsi="Arial" w:cs="Arial"/>
          <w:color w:val="000000"/>
        </w:rPr>
        <w:t xml:space="preserve"> by observing phage-host pairs which were consistently colocalized. One limitation of the method in the context of measuring lysogeny is that colocalizations need not be associated with lysogeny (for example, even if amplifying temperate genes, a virulent phage may still carry temperate genes and become associated with its host through the lytic cycle or through binding). </w:t>
      </w:r>
    </w:p>
    <w:p w14:paraId="234B60A5"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lastRenderedPageBreak/>
        <w:t xml:space="preserve">However, more commonly, PCR is used to detect </w:t>
      </w:r>
      <w:r w:rsidRPr="00EA5052">
        <w:rPr>
          <w:rFonts w:ascii="Arial" w:eastAsia="Times New Roman" w:hAnsi="Arial" w:cs="Arial"/>
          <w:b/>
          <w:bCs/>
          <w:color w:val="000000"/>
        </w:rPr>
        <w:t xml:space="preserve">the presence of free temperate phage in a sample. </w:t>
      </w:r>
      <w:r w:rsidRPr="00EA5052">
        <w:rPr>
          <w:rFonts w:ascii="Arial" w:eastAsia="Times New Roman" w:hAnsi="Arial" w:cs="Arial"/>
          <w:color w:val="000000"/>
        </w:rPr>
        <w:t xml:space="preserve">In some studies, PCR is used to amplify a conserved temperate gene, therefore confirming the presence of temperate phage. However, the same theoretical limitations as viral metagenomics apply; the presence of temperate phage does not necessarily confirm lysogenic activity. Another use of PCR is to detect the </w:t>
      </w:r>
      <w:r w:rsidRPr="00EA5052">
        <w:rPr>
          <w:rFonts w:ascii="Arial" w:eastAsia="Times New Roman" w:hAnsi="Arial" w:cs="Arial"/>
          <w:b/>
          <w:bCs/>
          <w:color w:val="000000"/>
        </w:rPr>
        <w:t>successful integration of a phage into a bacterial genome</w:t>
      </w:r>
      <w:r w:rsidRPr="00EA5052">
        <w:rPr>
          <w:rFonts w:ascii="Arial" w:eastAsia="Times New Roman" w:hAnsi="Arial" w:cs="Arial"/>
          <w:color w:val="000000"/>
        </w:rPr>
        <w:t xml:space="preserve"> (Askora et al., 2017). If the insertion location of the phage is known and the phage genome is known, a PCR may be designed with a primer with a phage sequence and a primer with a bacterial sequence. This test may be used to determine the presence of lysogens in a target population, as only a lysogen will contain both a phage and bacterial genome on the same strand of DNA. However, this method is limited to single phage-host pairs with known integration sites, bacterial genomes, and viral genomes.</w:t>
      </w:r>
    </w:p>
    <w:p w14:paraId="1DC76446"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28"/>
          <w:szCs w:val="28"/>
        </w:rPr>
        <w:t>Fluorescence </w:t>
      </w:r>
    </w:p>
    <w:p w14:paraId="055E8C1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Some factors leading to lysogeny, such as the number of coinfecting phages in a bacterium, depend on phage decisions at a subcellular level (Gandon, 2016). To study phage interactions on a subcellular level, fluorescence-based methods have been developed to </w:t>
      </w:r>
      <w:r w:rsidRPr="00EA5052">
        <w:rPr>
          <w:rFonts w:ascii="Arial" w:eastAsia="Times New Roman" w:hAnsi="Arial" w:cs="Arial"/>
          <w:b/>
          <w:bCs/>
          <w:color w:val="000000"/>
        </w:rPr>
        <w:t>resolve the location of phages at a subcellular level</w:t>
      </w:r>
      <w:r w:rsidRPr="00EA5052">
        <w:rPr>
          <w:rFonts w:ascii="Arial" w:eastAsia="Times New Roman" w:hAnsi="Arial" w:cs="Arial"/>
          <w:color w:val="000000"/>
        </w:rPr>
        <w:t>.</w:t>
      </w:r>
    </w:p>
    <w:p w14:paraId="17317D8A"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One study genetically modified phages to express capsid proteins attached to fluorescent proteins, allowing any generated phages to be tracked using fluorescence microscopy </w:t>
      </w:r>
      <w:r w:rsidRPr="00EA5052">
        <w:rPr>
          <w:rFonts w:ascii="Arial" w:eastAsia="Times New Roman" w:hAnsi="Arial" w:cs="Arial"/>
          <w:color w:val="000000"/>
          <w:shd w:val="clear" w:color="auto" w:fill="FFFFFF"/>
        </w:rPr>
        <w:t>(Zeng et al., 2010)</w:t>
      </w:r>
      <w:r w:rsidRPr="00EA5052">
        <w:rPr>
          <w:rFonts w:ascii="Arial" w:eastAsia="Times New Roman" w:hAnsi="Arial" w:cs="Arial"/>
          <w:color w:val="000000"/>
        </w:rPr>
        <w:t>. These phages were also made to express a different fluorescent protein under control of the same viral promoter controlling lysogeny, allowing the tracking of lysogenic bacteria. Together, these measures allowed accurate tracking of the life cycle of a phage on an intracellular level, for example, by determining the probability of lysogeny due to specific numbers of coinfecting phages. Another study used a method based on fluorescence in-situ hybridization to visualize the intracellular locations of phages and host ribosomes (Allers et al., 2013). One DNA probe was made to hybridize to viral genes, while another was made to hybridize to host ribosomal RNA; after several other steps, the nucleic acid surrounding each probe was made to fluoresce. Thus, the relative location of bacteria in space could be determined through the probe attached to the ribosomes, while the relative location of the phages in space could be determined through the phage sequence probe. One proposed usage of this system to study temperate phage was to allow researchers to monitor the induction of a prophage and its transition to the lytic cycle.</w:t>
      </w:r>
    </w:p>
    <w:p w14:paraId="60A9E488"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One limitation is that these methods are only useful when the phage genome (or at least some phage genes) are known. Additionally, although probe sequencadaes are not difficult to obtain, each probe sequence or genetically modified phage is only applicable to study a limited subset of phage-host pairs, rather than being applicable to all phages and hosts in an ecosystem (Allers et al., 2013).</w:t>
      </w:r>
    </w:p>
    <w:p w14:paraId="70B12798"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Conclusion</w:t>
      </w:r>
    </w:p>
    <w:p w14:paraId="5748EB87"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color w:val="000000"/>
        </w:rPr>
        <w:t xml:space="preserve">Many methods are used to study lysogeny in many distinct ways, from the single-cell scale to the ecological scale. Each method measures lysogeny in a different way, with differing levels of being mechanistically linked to lysogeny. Some methods, such as measuring the induction of fluorescence in lysogenic bacteria, are clearly theoretically valid. Other measurements, such as measurements of the VMR, are not so clearly mechanistically linked to lysogeny. Additionally, the validity of the common approach of measuring extracellular markers of temperate phage has been called into question (Weitz et al., 2017). Despite potential issues with several of the </w:t>
      </w:r>
      <w:r w:rsidRPr="00EA5052">
        <w:rPr>
          <w:rFonts w:ascii="Arial" w:eastAsia="Times New Roman" w:hAnsi="Arial" w:cs="Arial"/>
          <w:color w:val="000000"/>
        </w:rPr>
        <w:lastRenderedPageBreak/>
        <w:t>measurements, these measures have been used to advance the study of lysogeny and phage ecology as a whole. </w:t>
      </w:r>
    </w:p>
    <w:p w14:paraId="238076E2" w14:textId="77777777" w:rsidR="00EA5052" w:rsidRPr="00EA5052" w:rsidRDefault="00EA5052" w:rsidP="00EA5052">
      <w:pPr>
        <w:spacing w:line="240" w:lineRule="auto"/>
        <w:rPr>
          <w:rFonts w:ascii="Times New Roman" w:eastAsia="Times New Roman" w:hAnsi="Times New Roman" w:cs="Times New Roman"/>
          <w:sz w:val="24"/>
          <w:szCs w:val="24"/>
        </w:rPr>
      </w:pPr>
      <w:r w:rsidRPr="00EA5052">
        <w:rPr>
          <w:rFonts w:ascii="Arial" w:eastAsia="Times New Roman" w:hAnsi="Arial" w:cs="Arial"/>
          <w:b/>
          <w:bCs/>
          <w:color w:val="000000"/>
          <w:sz w:val="36"/>
          <w:szCs w:val="36"/>
        </w:rPr>
        <w:t>References</w:t>
      </w:r>
    </w:p>
    <w:p w14:paraId="125D719A"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Adams, H. (2009). </w:t>
      </w:r>
      <w:r w:rsidRPr="00EA5052">
        <w:rPr>
          <w:rFonts w:ascii="Arial" w:eastAsia="Times New Roman" w:hAnsi="Arial" w:cs="Arial"/>
          <w:i/>
          <w:iCs/>
          <w:color w:val="000000"/>
          <w:shd w:val="clear" w:color="auto" w:fill="FFFFFF"/>
        </w:rPr>
        <w:t>Contemporary trends in bacteriophage research</w:t>
      </w:r>
      <w:r w:rsidRPr="00EA5052">
        <w:rPr>
          <w:rFonts w:ascii="Arial" w:eastAsia="Times New Roman" w:hAnsi="Arial" w:cs="Arial"/>
          <w:color w:val="000000"/>
          <w:shd w:val="clear" w:color="auto" w:fill="FFFFFF"/>
        </w:rPr>
        <w:t xml:space="preserve">. Nova Science Publishers. </w:t>
      </w:r>
      <w:hyperlink r:id="rId5" w:history="1">
        <w:r w:rsidRPr="00EA5052">
          <w:rPr>
            <w:rFonts w:ascii="Arial" w:eastAsia="Times New Roman" w:hAnsi="Arial" w:cs="Arial"/>
            <w:color w:val="1155CC"/>
            <w:u w:val="single"/>
            <w:shd w:val="clear" w:color="auto" w:fill="FFFFFF"/>
          </w:rPr>
          <w:t>https://www.academia.edu/33489587/Disambiguating_Bacteriophage_Pseudolysogeny_An_Historical_Analysis_of_Lysogeny_Pseudolysogeny_and_the_Phage_Carrier_State</w:t>
        </w:r>
      </w:hyperlink>
    </w:p>
    <w:p w14:paraId="25DBEEF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Allers, E., Moraru, C., Duhaime, M., Beneze, E., Solonenko, N., &amp; Barrero-Canosa, J. et al. (2013). Single-cell and population level viral infection dynamics revealed by phageFISH, a method to visualize intracellular and free viruses. </w:t>
      </w:r>
      <w:r w:rsidRPr="00EA5052">
        <w:rPr>
          <w:rFonts w:ascii="Arial" w:eastAsia="Times New Roman" w:hAnsi="Arial" w:cs="Arial"/>
          <w:i/>
          <w:iCs/>
          <w:color w:val="000000"/>
          <w:shd w:val="clear" w:color="auto" w:fill="FFFFFF"/>
        </w:rPr>
        <w:t>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15</w:t>
      </w:r>
      <w:r w:rsidRPr="00EA5052">
        <w:rPr>
          <w:rFonts w:ascii="Arial" w:eastAsia="Times New Roman" w:hAnsi="Arial" w:cs="Arial"/>
          <w:color w:val="000000"/>
          <w:shd w:val="clear" w:color="auto" w:fill="FFFFFF"/>
        </w:rPr>
        <w:t>(8), 2306-2318.</w:t>
      </w:r>
      <w:hyperlink r:id="rId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https://doi.org/10.1111/1462-2920.12100</w:t>
        </w:r>
      </w:hyperlink>
      <w:r w:rsidRPr="00EA5052">
        <w:rPr>
          <w:rFonts w:ascii="Arial" w:eastAsia="Times New Roman" w:hAnsi="Arial" w:cs="Arial"/>
          <w:color w:val="000000"/>
          <w:shd w:val="clear" w:color="auto" w:fill="FFFFFF"/>
        </w:rPr>
        <w:t> </w:t>
      </w:r>
    </w:p>
    <w:p w14:paraId="016A972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Angly, F., Felts, B., Breitbart, M., Salamon, P., Edwards, R., &amp; Carlson, C. et al. (2006). The Marine Viromes of Four Oceanic Regions. </w:t>
      </w:r>
      <w:r w:rsidRPr="00EA5052">
        <w:rPr>
          <w:rFonts w:ascii="Arial" w:eastAsia="Times New Roman" w:hAnsi="Arial" w:cs="Arial"/>
          <w:i/>
          <w:iCs/>
          <w:color w:val="000000"/>
          <w:shd w:val="clear" w:color="auto" w:fill="FFFFFF"/>
        </w:rPr>
        <w:t>Plos 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4</w:t>
      </w:r>
      <w:r w:rsidRPr="00EA5052">
        <w:rPr>
          <w:rFonts w:ascii="Arial" w:eastAsia="Times New Roman" w:hAnsi="Arial" w:cs="Arial"/>
          <w:color w:val="000000"/>
          <w:shd w:val="clear" w:color="auto" w:fill="FFFFFF"/>
        </w:rPr>
        <w:t>(11), e368.</w:t>
      </w:r>
      <w:hyperlink r:id="rId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https://doi.org/10.1371/journal.pbio.0040368</w:t>
        </w:r>
      </w:hyperlink>
      <w:r w:rsidRPr="00EA5052">
        <w:rPr>
          <w:rFonts w:ascii="Arial" w:eastAsia="Times New Roman" w:hAnsi="Arial" w:cs="Arial"/>
          <w:color w:val="000000"/>
          <w:shd w:val="clear" w:color="auto" w:fill="FFFFFF"/>
        </w:rPr>
        <w:t> </w:t>
      </w:r>
    </w:p>
    <w:p w14:paraId="71347EF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Askora, A., Kawasaki, T., Fujie, M., &amp; Yamada, T. (2017). Lysogenic Conversion of the Phytopathogen Ralstonia solanacearum by the P2virus ϕRSY1. </w:t>
      </w:r>
      <w:r w:rsidRPr="00EA5052">
        <w:rPr>
          <w:rFonts w:ascii="Arial" w:eastAsia="Times New Roman" w:hAnsi="Arial" w:cs="Arial"/>
          <w:i/>
          <w:iCs/>
          <w:color w:val="000000"/>
          <w:shd w:val="clear" w:color="auto" w:fill="FFFFFF"/>
        </w:rPr>
        <w:t>Frontiers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w:t>
      </w:r>
      <w:hyperlink r:id="rId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https://doi.org/10.3389/fmicb.2017.02212</w:t>
        </w:r>
      </w:hyperlink>
      <w:r w:rsidRPr="00EA5052">
        <w:rPr>
          <w:rFonts w:ascii="Arial" w:eastAsia="Times New Roman" w:hAnsi="Arial" w:cs="Arial"/>
          <w:color w:val="000000"/>
          <w:shd w:val="clear" w:color="auto" w:fill="FFFFFF"/>
        </w:rPr>
        <w:t> </w:t>
      </w:r>
    </w:p>
    <w:p w14:paraId="05F7A97E"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Boyd, E. (2012). Bacteriophage-Encoded Bacterial Virulence Factors and Phage–Pathogenicity Island Interactions. </w:t>
      </w:r>
      <w:r w:rsidRPr="00EA5052">
        <w:rPr>
          <w:rFonts w:ascii="Arial" w:eastAsia="Times New Roman" w:hAnsi="Arial" w:cs="Arial"/>
          <w:i/>
          <w:iCs/>
          <w:color w:val="000000"/>
          <w:shd w:val="clear" w:color="auto" w:fill="FFFFFF"/>
        </w:rPr>
        <w:t>Bacteriophages, Part A</w:t>
      </w:r>
      <w:r w:rsidRPr="00EA5052">
        <w:rPr>
          <w:rFonts w:ascii="Arial" w:eastAsia="Times New Roman" w:hAnsi="Arial" w:cs="Arial"/>
          <w:color w:val="000000"/>
          <w:shd w:val="clear" w:color="auto" w:fill="FFFFFF"/>
        </w:rPr>
        <w:t>, 91-118.</w:t>
      </w:r>
      <w:hyperlink r:id="rId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https://doi.org/10.1016/b978-0-12-394621-8.00014-5</w:t>
        </w:r>
      </w:hyperlink>
      <w:r w:rsidRPr="00EA5052">
        <w:rPr>
          <w:rFonts w:ascii="Arial" w:eastAsia="Times New Roman" w:hAnsi="Arial" w:cs="Arial"/>
          <w:color w:val="000000"/>
          <w:shd w:val="clear" w:color="auto" w:fill="FFFFFF"/>
        </w:rPr>
        <w:t> </w:t>
      </w:r>
    </w:p>
    <w:p w14:paraId="092E0B0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Breitbart, M., Salamon, P., Andresen, B., Mahaffy, J., Segall, A., &amp; Mead, D. et al. (2002). Genomic analysis of uncultured marine viral communities. </w:t>
      </w:r>
      <w:r w:rsidRPr="00EA5052">
        <w:rPr>
          <w:rFonts w:ascii="Arial" w:eastAsia="Times New Roman" w:hAnsi="Arial" w:cs="Arial"/>
          <w:i/>
          <w:iCs/>
          <w:color w:val="000000"/>
          <w:shd w:val="clear" w:color="auto" w:fill="FFFFFF"/>
        </w:rPr>
        <w:t>Proceedings Of The National Academy Of Sciences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99</w:t>
      </w:r>
      <w:r w:rsidRPr="00EA5052">
        <w:rPr>
          <w:rFonts w:ascii="Arial" w:eastAsia="Times New Roman" w:hAnsi="Arial" w:cs="Arial"/>
          <w:color w:val="000000"/>
          <w:shd w:val="clear" w:color="auto" w:fill="FFFFFF"/>
        </w:rPr>
        <w:t>(22), 14250-14255.</w:t>
      </w:r>
      <w:hyperlink r:id="rId1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https://doi.org/10.1073/pnas.202488399</w:t>
        </w:r>
      </w:hyperlink>
    </w:p>
    <w:p w14:paraId="466A1DF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Cael, B., Carlson, M., Follett, C., &amp; Follows, M. (2018). Marine Virus-Like Particles and Microbes: A Linear Interpretation. </w:t>
      </w:r>
      <w:r w:rsidRPr="00EA5052">
        <w:rPr>
          <w:rFonts w:ascii="Arial" w:eastAsia="Times New Roman" w:hAnsi="Arial" w:cs="Arial"/>
          <w:i/>
          <w:iCs/>
          <w:color w:val="000000"/>
          <w:shd w:val="clear" w:color="auto" w:fill="FFFFFF"/>
        </w:rPr>
        <w:t>Frontiers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9</w:t>
      </w:r>
      <w:r w:rsidRPr="00EA5052">
        <w:rPr>
          <w:rFonts w:ascii="Arial" w:eastAsia="Times New Roman" w:hAnsi="Arial" w:cs="Arial"/>
          <w:color w:val="000000"/>
          <w:shd w:val="clear" w:color="auto" w:fill="FFFFFF"/>
        </w:rPr>
        <w:t>.</w:t>
      </w:r>
      <w:hyperlink r:id="rId1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https://doi.org/10.3389/fmicb.2018.00358</w:t>
        </w:r>
      </w:hyperlink>
    </w:p>
    <w:p w14:paraId="700BF0A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Campbell, A. (1998). Prophages and Cryptic Prophages. </w:t>
      </w:r>
      <w:r w:rsidRPr="00EA5052">
        <w:rPr>
          <w:rFonts w:ascii="Arial" w:eastAsia="Times New Roman" w:hAnsi="Arial" w:cs="Arial"/>
          <w:i/>
          <w:iCs/>
          <w:color w:val="000000"/>
          <w:shd w:val="clear" w:color="auto" w:fill="FFFFFF"/>
        </w:rPr>
        <w:t>Bacterial Genomes</w:t>
      </w:r>
      <w:r w:rsidRPr="00EA5052">
        <w:rPr>
          <w:rFonts w:ascii="Arial" w:eastAsia="Times New Roman" w:hAnsi="Arial" w:cs="Arial"/>
          <w:color w:val="000000"/>
          <w:shd w:val="clear" w:color="auto" w:fill="FFFFFF"/>
        </w:rPr>
        <w:t>, 23-29.</w:t>
      </w:r>
      <w:hyperlink r:id="rId1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https://doi.org/10.1007/978-1-4615-6369-3_3</w:t>
        </w:r>
      </w:hyperlink>
    </w:p>
    <w:p w14:paraId="151B4C4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Casas, V., &amp; Rohwer, F. (2007). Phage Metagenomics. </w:t>
      </w:r>
      <w:r w:rsidRPr="00EA5052">
        <w:rPr>
          <w:rFonts w:ascii="Arial" w:eastAsia="Times New Roman" w:hAnsi="Arial" w:cs="Arial"/>
          <w:i/>
          <w:iCs/>
          <w:color w:val="000000"/>
          <w:shd w:val="clear" w:color="auto" w:fill="FFFFFF"/>
        </w:rPr>
        <w:t>Methods In Enzymology</w:t>
      </w:r>
      <w:r w:rsidRPr="00EA5052">
        <w:rPr>
          <w:rFonts w:ascii="Arial" w:eastAsia="Times New Roman" w:hAnsi="Arial" w:cs="Arial"/>
          <w:color w:val="000000"/>
          <w:shd w:val="clear" w:color="auto" w:fill="FFFFFF"/>
        </w:rPr>
        <w:t>, 259-268.</w:t>
      </w:r>
      <w:hyperlink r:id="rId1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https://doi.org/10.1016/s0076-6879(06)21020-6</w:t>
        </w:r>
      </w:hyperlink>
      <w:r w:rsidRPr="00EA5052">
        <w:rPr>
          <w:rFonts w:ascii="Arial" w:eastAsia="Times New Roman" w:hAnsi="Arial" w:cs="Arial"/>
          <w:color w:val="000000"/>
          <w:shd w:val="clear" w:color="auto" w:fill="FFFFFF"/>
        </w:rPr>
        <w:t> </w:t>
      </w:r>
    </w:p>
    <w:p w14:paraId="5349CF9A"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Chiang, Y., Penadés, J., &amp; Chen, J. (2019). Genetic transduction by phages and chromosomal islands: The new and noncanonical. </w:t>
      </w:r>
      <w:r w:rsidRPr="00EA5052">
        <w:rPr>
          <w:rFonts w:ascii="Arial" w:eastAsia="Times New Roman" w:hAnsi="Arial" w:cs="Arial"/>
          <w:i/>
          <w:iCs/>
          <w:color w:val="000000"/>
          <w:shd w:val="clear" w:color="auto" w:fill="FFFFFF"/>
        </w:rPr>
        <w:t>PLOS Pathogens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15</w:t>
      </w:r>
      <w:r w:rsidRPr="00EA5052">
        <w:rPr>
          <w:rFonts w:ascii="Arial" w:eastAsia="Times New Roman" w:hAnsi="Arial" w:cs="Arial"/>
          <w:color w:val="000000"/>
          <w:shd w:val="clear" w:color="auto" w:fill="FFFFFF"/>
        </w:rPr>
        <w:t>(8), e1007878.</w:t>
      </w:r>
      <w:hyperlink r:id="rId1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https://doi.org/10.1371/journal.ppat.1007878</w:t>
        </w:r>
      </w:hyperlink>
      <w:r w:rsidRPr="00EA5052">
        <w:rPr>
          <w:rFonts w:ascii="Arial" w:eastAsia="Times New Roman" w:hAnsi="Arial" w:cs="Arial"/>
          <w:color w:val="000000"/>
          <w:shd w:val="clear" w:color="auto" w:fill="FFFFFF"/>
        </w:rPr>
        <w:t> </w:t>
      </w:r>
    </w:p>
    <w:p w14:paraId="51AE2D4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Cho, E., Gumport, R., &amp; Gardner, J. (2002). Interactions between Integrase and Excisionase in the Phage Lambda Excisive Nucleoprotein Complex. </w:t>
      </w:r>
      <w:r w:rsidRPr="00EA5052">
        <w:rPr>
          <w:rFonts w:ascii="Arial" w:eastAsia="Times New Roman" w:hAnsi="Arial" w:cs="Arial"/>
          <w:i/>
          <w:iCs/>
          <w:color w:val="000000"/>
          <w:shd w:val="clear" w:color="auto" w:fill="FFFFFF"/>
        </w:rPr>
        <w:t>Journal Of Bacteriology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184</w:t>
      </w:r>
      <w:r w:rsidRPr="00EA5052">
        <w:rPr>
          <w:rFonts w:ascii="Arial" w:eastAsia="Times New Roman" w:hAnsi="Arial" w:cs="Arial"/>
          <w:color w:val="000000"/>
          <w:shd w:val="clear" w:color="auto" w:fill="FFFFFF"/>
        </w:rPr>
        <w:t>(18), 5200-5203.</w:t>
      </w:r>
      <w:hyperlink r:id="rId1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https://doi.org/10.1128/jb.184.18.5200-5203.2002</w:t>
        </w:r>
      </w:hyperlink>
    </w:p>
    <w:p w14:paraId="220C9B1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Clokie, M., Millard, A., Letarov, A., &amp; Heaphy, S. (2011). Phages in nature. </w:t>
      </w:r>
      <w:r w:rsidRPr="00EA5052">
        <w:rPr>
          <w:rFonts w:ascii="Arial" w:eastAsia="Times New Roman" w:hAnsi="Arial" w:cs="Arial"/>
          <w:i/>
          <w:iCs/>
          <w:color w:val="000000"/>
          <w:shd w:val="clear" w:color="auto" w:fill="FFFFFF"/>
        </w:rPr>
        <w:t>Bacteriophage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w:t>
      </w:r>
      <w:r w:rsidRPr="00EA5052">
        <w:rPr>
          <w:rFonts w:ascii="Arial" w:eastAsia="Times New Roman" w:hAnsi="Arial" w:cs="Arial"/>
          <w:color w:val="000000"/>
          <w:shd w:val="clear" w:color="auto" w:fill="FFFFFF"/>
        </w:rPr>
        <w:t>(1), 31-45.</w:t>
      </w:r>
      <w:hyperlink r:id="rId1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https://doi.org/10.4161/bact.1.1.14942</w:t>
        </w:r>
      </w:hyperlink>
    </w:p>
    <w:p w14:paraId="58A6C36E"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Dinsdale, E., Pantos, O., Smriga, S., Edwards, R., Angly, F., &amp; Wegley, L. et al. (2008). Microbial Ecology of Four Coral Atolls in the Northern Line Islands.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(2), e1584.</w:t>
      </w:r>
      <w:hyperlink r:id="rId1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https://doi.org/10.1371/journal.pone.0001584</w:t>
        </w:r>
      </w:hyperlink>
      <w:r w:rsidRPr="00EA5052">
        <w:rPr>
          <w:rFonts w:ascii="Arial" w:eastAsia="Times New Roman" w:hAnsi="Arial" w:cs="Arial"/>
          <w:color w:val="000000"/>
          <w:shd w:val="clear" w:color="auto" w:fill="FFFFFF"/>
        </w:rPr>
        <w:t> </w:t>
      </w:r>
    </w:p>
    <w:p w14:paraId="10A4396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Forterre, P., Soler, N., Krupovic, M., Marguet, E., &amp; Ackermann, H. (2013). Fake virus particles generated by fluorescence microscopy. </w:t>
      </w:r>
      <w:r w:rsidRPr="00EA5052">
        <w:rPr>
          <w:rFonts w:ascii="Arial" w:eastAsia="Times New Roman" w:hAnsi="Arial" w:cs="Arial"/>
          <w:i/>
          <w:iCs/>
          <w:color w:val="000000"/>
          <w:shd w:val="clear" w:color="auto" w:fill="FFFFFF"/>
        </w:rPr>
        <w:t>Trends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21</w:t>
      </w:r>
      <w:r w:rsidRPr="00EA5052">
        <w:rPr>
          <w:rFonts w:ascii="Arial" w:eastAsia="Times New Roman" w:hAnsi="Arial" w:cs="Arial"/>
          <w:color w:val="000000"/>
          <w:shd w:val="clear" w:color="auto" w:fill="FFFFFF"/>
        </w:rPr>
        <w:t>(1), 1-5.</w:t>
      </w:r>
      <w:hyperlink r:id="rId1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https://doi.org/10.1016/j.tim.2012.10.005</w:t>
        </w:r>
      </w:hyperlink>
      <w:r w:rsidRPr="00EA5052">
        <w:rPr>
          <w:rFonts w:ascii="Arial" w:eastAsia="Times New Roman" w:hAnsi="Arial" w:cs="Arial"/>
          <w:color w:val="000000"/>
          <w:shd w:val="clear" w:color="auto" w:fill="FFFFFF"/>
        </w:rPr>
        <w:t> </w:t>
      </w:r>
    </w:p>
    <w:p w14:paraId="073A706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Gandon, S. (2016). Why Be Temperate: Lessons from Bacteriophage λ. </w:t>
      </w:r>
      <w:r w:rsidRPr="00EA5052">
        <w:rPr>
          <w:rFonts w:ascii="Arial" w:eastAsia="Times New Roman" w:hAnsi="Arial" w:cs="Arial"/>
          <w:i/>
          <w:iCs/>
          <w:color w:val="000000"/>
          <w:shd w:val="clear" w:color="auto" w:fill="FFFFFF"/>
        </w:rPr>
        <w:t>Trends In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24</w:t>
      </w:r>
      <w:r w:rsidRPr="00EA5052">
        <w:rPr>
          <w:rFonts w:ascii="Arial" w:eastAsia="Times New Roman" w:hAnsi="Arial" w:cs="Arial"/>
          <w:color w:val="000000"/>
          <w:shd w:val="clear" w:color="auto" w:fill="FFFFFF"/>
        </w:rPr>
        <w:t>(5), 356-365.</w:t>
      </w:r>
      <w:hyperlink r:id="rId1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https://doi.org/10.1016/j.tim.2016.02.008</w:t>
        </w:r>
      </w:hyperlink>
      <w:r w:rsidRPr="00EA5052">
        <w:rPr>
          <w:rFonts w:ascii="Arial" w:eastAsia="Times New Roman" w:hAnsi="Arial" w:cs="Arial"/>
          <w:color w:val="000000"/>
          <w:shd w:val="clear" w:color="auto" w:fill="FFFFFF"/>
        </w:rPr>
        <w:t> </w:t>
      </w:r>
    </w:p>
    <w:p w14:paraId="67F7907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Groth, A., &amp; Calos, M. (2004). Phage Integrases: Biology and Applications. </w:t>
      </w:r>
      <w:r w:rsidRPr="00EA5052">
        <w:rPr>
          <w:rFonts w:ascii="Arial" w:eastAsia="Times New Roman" w:hAnsi="Arial" w:cs="Arial"/>
          <w:i/>
          <w:iCs/>
          <w:color w:val="000000"/>
          <w:shd w:val="clear" w:color="auto" w:fill="FFFFFF"/>
        </w:rPr>
        <w:t>Journal Of Molecular 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335</w:t>
      </w:r>
      <w:r w:rsidRPr="00EA5052">
        <w:rPr>
          <w:rFonts w:ascii="Arial" w:eastAsia="Times New Roman" w:hAnsi="Arial" w:cs="Arial"/>
          <w:color w:val="000000"/>
          <w:shd w:val="clear" w:color="auto" w:fill="FFFFFF"/>
        </w:rPr>
        <w:t>(3), 667-678.</w:t>
      </w:r>
      <w:hyperlink r:id="rId2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https://doi.org/10.1016/j.jmb.2003.09.082</w:t>
        </w:r>
      </w:hyperlink>
      <w:r w:rsidRPr="00EA5052">
        <w:rPr>
          <w:rFonts w:ascii="Arial" w:eastAsia="Times New Roman" w:hAnsi="Arial" w:cs="Arial"/>
          <w:color w:val="000000"/>
          <w:shd w:val="clear" w:color="auto" w:fill="FFFFFF"/>
        </w:rPr>
        <w:t> </w:t>
      </w:r>
    </w:p>
    <w:p w14:paraId="1F6DE5A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lastRenderedPageBreak/>
        <w:t xml:space="preserve">Hobbs, Z., &amp; Abedon, S. (2016). Diversity of phage infection types and associated terminology: the problem with ‘Lytic or lysogenic’. </w:t>
      </w:r>
      <w:r w:rsidRPr="00EA5052">
        <w:rPr>
          <w:rFonts w:ascii="Arial" w:eastAsia="Times New Roman" w:hAnsi="Arial" w:cs="Arial"/>
          <w:i/>
          <w:iCs/>
          <w:color w:val="000000"/>
          <w:shd w:val="clear" w:color="auto" w:fill="FFFFFF"/>
        </w:rPr>
        <w:t>FEMS Microbiology Letters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363</w:t>
      </w:r>
      <w:r w:rsidRPr="00EA5052">
        <w:rPr>
          <w:rFonts w:ascii="Arial" w:eastAsia="Times New Roman" w:hAnsi="Arial" w:cs="Arial"/>
          <w:color w:val="000000"/>
          <w:shd w:val="clear" w:color="auto" w:fill="FFFFFF"/>
        </w:rPr>
        <w:t>(7), fnw047.</w:t>
      </w:r>
      <w:hyperlink r:id="rId2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https://doi.org/10.1093/femsle/fnw047</w:t>
        </w:r>
      </w:hyperlink>
      <w:r w:rsidRPr="00EA5052">
        <w:rPr>
          <w:rFonts w:ascii="Arial" w:eastAsia="Times New Roman" w:hAnsi="Arial" w:cs="Arial"/>
          <w:color w:val="000000"/>
          <w:shd w:val="clear" w:color="auto" w:fill="FFFFFF"/>
        </w:rPr>
        <w:t> </w:t>
      </w:r>
    </w:p>
    <w:p w14:paraId="5610B30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Howard-Varona, C., Hargreaves, K., Abedon, S., &amp; Sullivan, M. (2017). Lysogeny in nature: mechanisms, impact and ecology of temperate phages.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11</w:t>
      </w:r>
      <w:r w:rsidRPr="00EA5052">
        <w:rPr>
          <w:rFonts w:ascii="Arial" w:eastAsia="Times New Roman" w:hAnsi="Arial" w:cs="Arial"/>
          <w:color w:val="000000"/>
          <w:shd w:val="clear" w:color="auto" w:fill="FFFFFF"/>
        </w:rPr>
        <w:t>(7), 1511-1520.</w:t>
      </w:r>
      <w:hyperlink r:id="rId2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https://doi.org/10.1038/ismej.2017.16</w:t>
        </w:r>
      </w:hyperlink>
      <w:r w:rsidRPr="00EA5052">
        <w:rPr>
          <w:rFonts w:ascii="Arial" w:eastAsia="Times New Roman" w:hAnsi="Arial" w:cs="Arial"/>
          <w:color w:val="000000"/>
          <w:shd w:val="clear" w:color="auto" w:fill="FFFFFF"/>
        </w:rPr>
        <w:t xml:space="preserve"> </w:t>
      </w:r>
      <w:r w:rsidRPr="00EA5052">
        <w:rPr>
          <w:rFonts w:ascii="Arial" w:eastAsia="Times New Roman" w:hAnsi="Arial" w:cs="Arial"/>
          <w:color w:val="000000"/>
        </w:rPr>
        <w:t> </w:t>
      </w:r>
    </w:p>
    <w:p w14:paraId="59B1E31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Hoyles, L., &amp; Swann, J. (2019). Influence of the Human Gut Microbiome on the Metabolic Phenotype. </w:t>
      </w:r>
      <w:r w:rsidRPr="00EA5052">
        <w:rPr>
          <w:rFonts w:ascii="Arial" w:eastAsia="Times New Roman" w:hAnsi="Arial" w:cs="Arial"/>
          <w:i/>
          <w:iCs/>
          <w:color w:val="000000"/>
          <w:shd w:val="clear" w:color="auto" w:fill="FFFFFF"/>
        </w:rPr>
        <w:t>The Handbook Of Metabolic Phenotyping</w:t>
      </w:r>
      <w:r w:rsidRPr="00EA5052">
        <w:rPr>
          <w:rFonts w:ascii="Arial" w:eastAsia="Times New Roman" w:hAnsi="Arial" w:cs="Arial"/>
          <w:color w:val="000000"/>
          <w:shd w:val="clear" w:color="auto" w:fill="FFFFFF"/>
        </w:rPr>
        <w:t>, 535-560.</w:t>
      </w:r>
      <w:hyperlink r:id="rId2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https://doi.org/10.1016/b978-0-12-812293-8.00018-9</w:t>
        </w:r>
      </w:hyperlink>
    </w:p>
    <w:p w14:paraId="18611237"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Jiang, S., &amp; Paul, J. (1996). Occurrence of lysogenic bacteria in marine microbial communities as determined by prophage induction. </w:t>
      </w:r>
      <w:r w:rsidRPr="00EA5052">
        <w:rPr>
          <w:rFonts w:ascii="Arial" w:eastAsia="Times New Roman" w:hAnsi="Arial" w:cs="Arial"/>
          <w:i/>
          <w:iCs/>
          <w:color w:val="000000"/>
          <w:shd w:val="clear" w:color="auto" w:fill="FFFFFF"/>
        </w:rPr>
        <w:t>Marine Ecology Progress Series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142</w:t>
      </w:r>
      <w:r w:rsidRPr="00EA5052">
        <w:rPr>
          <w:rFonts w:ascii="Arial" w:eastAsia="Times New Roman" w:hAnsi="Arial" w:cs="Arial"/>
          <w:color w:val="000000"/>
          <w:shd w:val="clear" w:color="auto" w:fill="FFFFFF"/>
        </w:rPr>
        <w:t>, 27-38.</w:t>
      </w:r>
      <w:hyperlink r:id="rId2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https://doi.org/10.3354/meps142027</w:t>
        </w:r>
      </w:hyperlink>
    </w:p>
    <w:p w14:paraId="5F04984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Kirchman, D., Sigda, J., Kapuscinski, R., &amp; Mitchell, R. (1982). Statistical analysis of the direct count method for enumerating bacteria. </w:t>
      </w:r>
      <w:r w:rsidRPr="00EA5052">
        <w:rPr>
          <w:rFonts w:ascii="Arial" w:eastAsia="Times New Roman" w:hAnsi="Arial" w:cs="Arial"/>
          <w:i/>
          <w:iCs/>
          <w:color w:val="000000"/>
          <w:shd w:val="clear" w:color="auto" w:fill="FFFFFF"/>
        </w:rPr>
        <w:t>Applied And 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44</w:t>
      </w:r>
      <w:r w:rsidRPr="00EA5052">
        <w:rPr>
          <w:rFonts w:ascii="Arial" w:eastAsia="Times New Roman" w:hAnsi="Arial" w:cs="Arial"/>
          <w:color w:val="000000"/>
          <w:shd w:val="clear" w:color="auto" w:fill="FFFFFF"/>
        </w:rPr>
        <w:t>(2), 376-382. Retrieved 22 March 2020, from</w:t>
      </w:r>
      <w:hyperlink r:id="rId2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https://aem.asm.org/content/aem/44/2/376.full.pdf</w:t>
        </w:r>
      </w:hyperlink>
      <w:r w:rsidRPr="00EA5052">
        <w:rPr>
          <w:rFonts w:ascii="Arial" w:eastAsia="Times New Roman" w:hAnsi="Arial" w:cs="Arial"/>
          <w:color w:val="000000"/>
          <w:shd w:val="clear" w:color="auto" w:fill="FFFFFF"/>
        </w:rPr>
        <w:t>. </w:t>
      </w:r>
    </w:p>
    <w:p w14:paraId="4E53B76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Karcher, S. (1995). POLYMERASE CHAIN REACTION. </w:t>
      </w:r>
      <w:r w:rsidRPr="00EA5052">
        <w:rPr>
          <w:rFonts w:ascii="Arial" w:eastAsia="Times New Roman" w:hAnsi="Arial" w:cs="Arial"/>
          <w:i/>
          <w:iCs/>
          <w:color w:val="000000"/>
          <w:shd w:val="clear" w:color="auto" w:fill="FFFFFF"/>
        </w:rPr>
        <w:t>Molecular Biology</w:t>
      </w:r>
      <w:r w:rsidRPr="00EA5052">
        <w:rPr>
          <w:rFonts w:ascii="Arial" w:eastAsia="Times New Roman" w:hAnsi="Arial" w:cs="Arial"/>
          <w:color w:val="000000"/>
          <w:shd w:val="clear" w:color="auto" w:fill="FFFFFF"/>
        </w:rPr>
        <w:t xml:space="preserve">, 215-227. </w:t>
      </w:r>
      <w:hyperlink r:id="rId26" w:history="1">
        <w:r w:rsidRPr="00EA5052">
          <w:rPr>
            <w:rFonts w:ascii="Arial" w:eastAsia="Times New Roman" w:hAnsi="Arial" w:cs="Arial"/>
            <w:color w:val="1155CC"/>
            <w:u w:val="single"/>
            <w:shd w:val="clear" w:color="auto" w:fill="FFFFFF"/>
          </w:rPr>
          <w:t>https://doi.org/10.1016/b978-012397720-5.50040-2</w:t>
        </w:r>
      </w:hyperlink>
      <w:r w:rsidRPr="00EA5052">
        <w:rPr>
          <w:rFonts w:ascii="Arial" w:eastAsia="Times New Roman" w:hAnsi="Arial" w:cs="Arial"/>
          <w:color w:val="000000"/>
          <w:shd w:val="clear" w:color="auto" w:fill="FFFFFF"/>
        </w:rPr>
        <w:t> </w:t>
      </w:r>
    </w:p>
    <w:p w14:paraId="7CAF1CA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Knowles, B., Silveira, C., Bailey, B., Barott, K., Cantu, V., &amp; Cobián-Güemes, A. et al. (2016). Lytic to temperate switching of viral communities.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531</w:t>
      </w:r>
      <w:r w:rsidRPr="00EA5052">
        <w:rPr>
          <w:rFonts w:ascii="Arial" w:eastAsia="Times New Roman" w:hAnsi="Arial" w:cs="Arial"/>
          <w:color w:val="000000"/>
          <w:shd w:val="clear" w:color="auto" w:fill="FFFFFF"/>
        </w:rPr>
        <w:t>(7595), 466-470.</w:t>
      </w:r>
      <w:hyperlink r:id="rId2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https://doi.org/10.1038/nature17193</w:t>
        </w:r>
      </w:hyperlink>
      <w:r w:rsidRPr="00EA5052">
        <w:rPr>
          <w:rFonts w:ascii="Arial" w:eastAsia="Times New Roman" w:hAnsi="Arial" w:cs="Arial"/>
          <w:color w:val="000000"/>
          <w:shd w:val="clear" w:color="auto" w:fill="FFFFFF"/>
        </w:rPr>
        <w:t> </w:t>
      </w:r>
    </w:p>
    <w:p w14:paraId="64EAAAF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Lima-Mendez, G., Van Helden, J., Toussaint, A., &amp; Leplae, R. (2008). Prophinder: a computational tool for prophage prediction in prokaryotic genomes. </w:t>
      </w:r>
      <w:r w:rsidRPr="00EA5052">
        <w:rPr>
          <w:rFonts w:ascii="Arial" w:eastAsia="Times New Roman" w:hAnsi="Arial" w:cs="Arial"/>
          <w:i/>
          <w:iCs/>
          <w:color w:val="000000"/>
          <w:shd w:val="clear" w:color="auto" w:fill="FFFFFF"/>
        </w:rPr>
        <w:t>Bioinformatics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24</w:t>
      </w:r>
      <w:r w:rsidRPr="00EA5052">
        <w:rPr>
          <w:rFonts w:ascii="Arial" w:eastAsia="Times New Roman" w:hAnsi="Arial" w:cs="Arial"/>
          <w:color w:val="000000"/>
          <w:shd w:val="clear" w:color="auto" w:fill="FFFFFF"/>
        </w:rPr>
        <w:t>(6), 863-865.</w:t>
      </w:r>
      <w:hyperlink r:id="rId2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https://doi.org/10.1093/bioinformatics/btn043</w:t>
        </w:r>
      </w:hyperlink>
      <w:r w:rsidRPr="00EA5052">
        <w:rPr>
          <w:rFonts w:ascii="Arial" w:eastAsia="Times New Roman" w:hAnsi="Arial" w:cs="Arial"/>
          <w:color w:val="000000"/>
          <w:shd w:val="clear" w:color="auto" w:fill="FFFFFF"/>
        </w:rPr>
        <w:t> </w:t>
      </w:r>
    </w:p>
    <w:p w14:paraId="19AD115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Łoś, M., &amp; Węgrzyn, G. (2012). Pseudolysogeny. </w:t>
      </w:r>
      <w:r w:rsidRPr="00EA5052">
        <w:rPr>
          <w:rFonts w:ascii="Arial" w:eastAsia="Times New Roman" w:hAnsi="Arial" w:cs="Arial"/>
          <w:i/>
          <w:iCs/>
          <w:color w:val="000000"/>
          <w:shd w:val="clear" w:color="auto" w:fill="FFFFFF"/>
        </w:rPr>
        <w:t>Bacteriophages, Part A</w:t>
      </w:r>
      <w:r w:rsidRPr="00EA5052">
        <w:rPr>
          <w:rFonts w:ascii="Arial" w:eastAsia="Times New Roman" w:hAnsi="Arial" w:cs="Arial"/>
          <w:color w:val="000000"/>
          <w:shd w:val="clear" w:color="auto" w:fill="FFFFFF"/>
        </w:rPr>
        <w:t>, 339-349.</w:t>
      </w:r>
      <w:hyperlink r:id="rId2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https://doi.org/10.1016/b978-0-12-394621-8.00019-4</w:t>
        </w:r>
      </w:hyperlink>
    </w:p>
    <w:p w14:paraId="1F7FAB2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Luo, E., Aylward, F., Mende, D., &amp; DeLong, E. (2017). Bacteriophage Distributions and Temporal Variability in the Ocean’s Interior. </w:t>
      </w:r>
      <w:r w:rsidRPr="00EA5052">
        <w:rPr>
          <w:rFonts w:ascii="Arial" w:eastAsia="Times New Roman" w:hAnsi="Arial" w:cs="Arial"/>
          <w:i/>
          <w:iCs/>
          <w:color w:val="000000"/>
          <w:shd w:val="clear" w:color="auto" w:fill="FFFFFF"/>
        </w:rPr>
        <w:t>Mbio</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(6).</w:t>
      </w:r>
      <w:hyperlink r:id="rId3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https://doi.org/10.1128/mbio.01903-17</w:t>
        </w:r>
      </w:hyperlink>
      <w:r w:rsidRPr="00EA5052">
        <w:rPr>
          <w:rFonts w:ascii="Arial" w:eastAsia="Times New Roman" w:hAnsi="Arial" w:cs="Arial"/>
          <w:color w:val="000000"/>
          <w:shd w:val="clear" w:color="auto" w:fill="FFFFFF"/>
        </w:rPr>
        <w:t> </w:t>
      </w:r>
    </w:p>
    <w:p w14:paraId="7FD68C0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303030"/>
          <w:shd w:val="clear" w:color="auto" w:fill="FFFFFF"/>
        </w:rPr>
        <w:t xml:space="preserve">Lwoff, A. (1953). Lysogeny. </w:t>
      </w:r>
      <w:r w:rsidRPr="00EA5052">
        <w:rPr>
          <w:rFonts w:ascii="Arial" w:eastAsia="Times New Roman" w:hAnsi="Arial" w:cs="Arial"/>
          <w:i/>
          <w:iCs/>
          <w:color w:val="303030"/>
          <w:shd w:val="clear" w:color="auto" w:fill="FFFFFF"/>
        </w:rPr>
        <w:t>Bacteriological reviews</w:t>
      </w:r>
      <w:r w:rsidRPr="00EA5052">
        <w:rPr>
          <w:rFonts w:ascii="Arial" w:eastAsia="Times New Roman" w:hAnsi="Arial" w:cs="Arial"/>
          <w:color w:val="303030"/>
          <w:shd w:val="clear" w:color="auto" w:fill="FFFFFF"/>
        </w:rPr>
        <w:t xml:space="preserve">, </w:t>
      </w:r>
      <w:r w:rsidRPr="00EA5052">
        <w:rPr>
          <w:rFonts w:ascii="Arial" w:eastAsia="Times New Roman" w:hAnsi="Arial" w:cs="Arial"/>
          <w:i/>
          <w:iCs/>
          <w:color w:val="303030"/>
          <w:shd w:val="clear" w:color="auto" w:fill="FFFFFF"/>
        </w:rPr>
        <w:t>17</w:t>
      </w:r>
      <w:r w:rsidRPr="00EA5052">
        <w:rPr>
          <w:rFonts w:ascii="Arial" w:eastAsia="Times New Roman" w:hAnsi="Arial" w:cs="Arial"/>
          <w:color w:val="303030"/>
          <w:shd w:val="clear" w:color="auto" w:fill="FFFFFF"/>
        </w:rPr>
        <w:t>(4), 269–337. Retrieved 22 March 2020, from</w:t>
      </w:r>
      <w:hyperlink r:id="rId31" w:history="1">
        <w:r w:rsidRPr="00EA5052">
          <w:rPr>
            <w:rFonts w:ascii="Arial" w:eastAsia="Times New Roman" w:hAnsi="Arial" w:cs="Arial"/>
            <w:color w:val="303030"/>
            <w:u w:val="single"/>
            <w:shd w:val="clear" w:color="auto" w:fill="FFFFFF"/>
          </w:rPr>
          <w:t xml:space="preserve"> </w:t>
        </w:r>
        <w:r w:rsidRPr="00EA5052">
          <w:rPr>
            <w:rFonts w:ascii="Arial" w:eastAsia="Times New Roman" w:hAnsi="Arial" w:cs="Arial"/>
            <w:color w:val="1155CC"/>
            <w:u w:val="single"/>
            <w:shd w:val="clear" w:color="auto" w:fill="FFFFFF"/>
          </w:rPr>
          <w:t>https://www.ncbi.nlm.nih.gov/pmc/articles/PMC180777/?page=3</w:t>
        </w:r>
      </w:hyperlink>
    </w:p>
    <w:p w14:paraId="64C6C899"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McDaniel, L., Breitbart, M., Mobberley, J., Long, A., Haynes, M., Rohwer, F., &amp; Paul, J. (2008). Metagenomic Analysis of Lysogeny in Tampa Bay: Implications for Prophage Gene Expression.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(9), e3263.</w:t>
      </w:r>
      <w:hyperlink r:id="rId3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https://doi.org/10.1371/journal.pone.0003263</w:t>
        </w:r>
      </w:hyperlink>
    </w:p>
    <w:p w14:paraId="390A90B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McDaniel, L., Rosario, K., Breitbart, M., &amp; Paul, J. (2013). Comparative metagenomics: natural populations of induced prophages demonstrate highly unique, lower diversity viral sequences. </w:t>
      </w:r>
      <w:r w:rsidRPr="00EA5052">
        <w:rPr>
          <w:rFonts w:ascii="Arial" w:eastAsia="Times New Roman" w:hAnsi="Arial" w:cs="Arial"/>
          <w:i/>
          <w:iCs/>
          <w:color w:val="000000"/>
          <w:shd w:val="clear" w:color="auto" w:fill="FFFFFF"/>
        </w:rPr>
        <w:t>Environmental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16</w:t>
      </w:r>
      <w:r w:rsidRPr="00EA5052">
        <w:rPr>
          <w:rFonts w:ascii="Arial" w:eastAsia="Times New Roman" w:hAnsi="Arial" w:cs="Arial"/>
          <w:color w:val="000000"/>
          <w:shd w:val="clear" w:color="auto" w:fill="FFFFFF"/>
        </w:rPr>
        <w:t>(2), 570-585.</w:t>
      </w:r>
      <w:hyperlink r:id="rId3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https://doi.org/10.1111/1462-2920.12184</w:t>
        </w:r>
      </w:hyperlink>
    </w:p>
    <w:p w14:paraId="655D9A7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Mende, D., Bryant, J., Aylward, F., Eppley, J., Nielsen, T., Karl, D., &amp; DeLong, E. (2017). Environmental drivers of a microbial genomic transition zone in the ocean’s interior. </w:t>
      </w:r>
      <w:r w:rsidRPr="00EA5052">
        <w:rPr>
          <w:rFonts w:ascii="Arial" w:eastAsia="Times New Roman" w:hAnsi="Arial" w:cs="Arial"/>
          <w:i/>
          <w:iCs/>
          <w:color w:val="000000"/>
          <w:shd w:val="clear" w:color="auto" w:fill="FFFFFF"/>
        </w:rPr>
        <w:t>Nature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w:t>
      </w:r>
      <w:r w:rsidRPr="00EA5052">
        <w:rPr>
          <w:rFonts w:ascii="Arial" w:eastAsia="Times New Roman" w:hAnsi="Arial" w:cs="Arial"/>
          <w:color w:val="000000"/>
          <w:shd w:val="clear" w:color="auto" w:fill="FFFFFF"/>
        </w:rPr>
        <w:t>(10), 1367-1373.</w:t>
      </w:r>
      <w:hyperlink r:id="rId3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https://doi.org/10.1038/s41564-017-0008-3</w:t>
        </w:r>
      </w:hyperlink>
      <w:r w:rsidRPr="00EA5052">
        <w:rPr>
          <w:rFonts w:ascii="Arial" w:eastAsia="Times New Roman" w:hAnsi="Arial" w:cs="Arial"/>
          <w:color w:val="000000"/>
          <w:shd w:val="clear" w:color="auto" w:fill="FFFFFF"/>
        </w:rPr>
        <w:t> </w:t>
      </w:r>
    </w:p>
    <w:p w14:paraId="52FC6C2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Noble, R., &amp; Fuhrman, J. (1998). Use of SYBR Green I for rapid epifluorescence counts of marine viruses and bacteria. </w:t>
      </w:r>
      <w:r w:rsidRPr="00EA5052">
        <w:rPr>
          <w:rFonts w:ascii="Arial" w:eastAsia="Times New Roman" w:hAnsi="Arial" w:cs="Arial"/>
          <w:i/>
          <w:iCs/>
          <w:color w:val="000000"/>
          <w:shd w:val="clear" w:color="auto" w:fill="FFFFFF"/>
        </w:rPr>
        <w:t>Aquatic Microbial Ecology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w:t>
      </w:r>
      <w:r w:rsidRPr="00EA5052">
        <w:rPr>
          <w:rFonts w:ascii="Arial" w:eastAsia="Times New Roman" w:hAnsi="Arial" w:cs="Arial"/>
          <w:color w:val="000000"/>
          <w:shd w:val="clear" w:color="auto" w:fill="FFFFFF"/>
        </w:rPr>
        <w:t>, 113-118.</w:t>
      </w:r>
      <w:hyperlink r:id="rId3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https://doi.org/10.3354/ame014113</w:t>
        </w:r>
      </w:hyperlink>
    </w:p>
    <w:p w14:paraId="38CCE2BD"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Otsuji, N., Sekiguchi, M., Iljuma, T., &amp; Takagi, Y. (1959). Induction of Phage Formation in the Lysogenic Escherichia coli K-12 by Mitomycin C.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184</w:t>
      </w:r>
      <w:r w:rsidRPr="00EA5052">
        <w:rPr>
          <w:rFonts w:ascii="Arial" w:eastAsia="Times New Roman" w:hAnsi="Arial" w:cs="Arial"/>
          <w:color w:val="000000"/>
          <w:shd w:val="clear" w:color="auto" w:fill="FFFFFF"/>
        </w:rPr>
        <w:t>(4692), 1079-1080.</w:t>
      </w:r>
      <w:hyperlink r:id="rId3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https://doi.org/10.1038/1841079b0</w:t>
        </w:r>
      </w:hyperlink>
    </w:p>
    <w:p w14:paraId="272341B5"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Parada, V., Herndl, G., &amp; Weinbauer, M. (2006). Viral burst size of heterotrophic prokaryotes in aquatic systems. </w:t>
      </w:r>
      <w:r w:rsidRPr="00EA5052">
        <w:rPr>
          <w:rFonts w:ascii="Arial" w:eastAsia="Times New Roman" w:hAnsi="Arial" w:cs="Arial"/>
          <w:i/>
          <w:iCs/>
          <w:color w:val="000000"/>
          <w:shd w:val="clear" w:color="auto" w:fill="FFFFFF"/>
        </w:rPr>
        <w:t>Journal Of The Marine Biological Association Of The United Kingdom</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86</w:t>
      </w:r>
      <w:r w:rsidRPr="00EA5052">
        <w:rPr>
          <w:rFonts w:ascii="Arial" w:eastAsia="Times New Roman" w:hAnsi="Arial" w:cs="Arial"/>
          <w:color w:val="000000"/>
          <w:shd w:val="clear" w:color="auto" w:fill="FFFFFF"/>
        </w:rPr>
        <w:t>(3), 613-621.</w:t>
      </w:r>
      <w:hyperlink r:id="rId3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https://doi.org/10.1017/s002531540601352x</w:t>
        </w:r>
      </w:hyperlink>
    </w:p>
    <w:p w14:paraId="0E9C7674"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lastRenderedPageBreak/>
        <w:t xml:space="preserve">Petrosino, J., Highlander, S., Luna, R., Gibbs, R., &amp; Versalovic, J. (2009). Metagenomic Pyrosequencing and Microbial Identification. </w:t>
      </w:r>
      <w:r w:rsidRPr="00EA5052">
        <w:rPr>
          <w:rFonts w:ascii="Arial" w:eastAsia="Times New Roman" w:hAnsi="Arial" w:cs="Arial"/>
          <w:i/>
          <w:iCs/>
          <w:color w:val="000000"/>
          <w:shd w:val="clear" w:color="auto" w:fill="FFFFFF"/>
        </w:rPr>
        <w:t>Clinical Chemistry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55</w:t>
      </w:r>
      <w:r w:rsidRPr="00EA5052">
        <w:rPr>
          <w:rFonts w:ascii="Arial" w:eastAsia="Times New Roman" w:hAnsi="Arial" w:cs="Arial"/>
          <w:color w:val="000000"/>
          <w:shd w:val="clear" w:color="auto" w:fill="FFFFFF"/>
        </w:rPr>
        <w:t>(5), 856-866.</w:t>
      </w:r>
      <w:hyperlink r:id="rId3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https://doi.org/10.1373/clinchem.2008.107565</w:t>
        </w:r>
      </w:hyperlink>
      <w:r w:rsidRPr="00EA5052">
        <w:rPr>
          <w:rFonts w:ascii="Arial" w:eastAsia="Times New Roman" w:hAnsi="Arial" w:cs="Arial"/>
          <w:color w:val="000000"/>
          <w:shd w:val="clear" w:color="auto" w:fill="FFFFFF"/>
        </w:rPr>
        <w:t> </w:t>
      </w:r>
    </w:p>
    <w:p w14:paraId="2378EE6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Quince, C., Walker, A., Simpson, J., Loman, N., &amp; Segata, N. (2017). Shotgun metagenomics, from sampling to analysis. </w:t>
      </w:r>
      <w:r w:rsidRPr="00EA5052">
        <w:rPr>
          <w:rFonts w:ascii="Arial" w:eastAsia="Times New Roman" w:hAnsi="Arial" w:cs="Arial"/>
          <w:i/>
          <w:iCs/>
          <w:color w:val="000000"/>
          <w:shd w:val="clear" w:color="auto" w:fill="FFFFFF"/>
        </w:rPr>
        <w:t>Nature Biotechnology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35</w:t>
      </w:r>
      <w:r w:rsidRPr="00EA5052">
        <w:rPr>
          <w:rFonts w:ascii="Arial" w:eastAsia="Times New Roman" w:hAnsi="Arial" w:cs="Arial"/>
          <w:color w:val="000000"/>
          <w:shd w:val="clear" w:color="auto" w:fill="FFFFFF"/>
        </w:rPr>
        <w:t>(9), 833-844.</w:t>
      </w:r>
      <w:hyperlink r:id="rId3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https://doi.org/10.1038/nbt.3935</w:t>
        </w:r>
      </w:hyperlink>
    </w:p>
    <w:p w14:paraId="715D8F1F"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Santiago-Rodriguez, T., Naidu, M., Abeles, S., Boehm, T., Ly, M., &amp; Pride, D. (2015). Transcriptome analysis of bacteriophage communities in periodontal health and disease. </w:t>
      </w:r>
      <w:r w:rsidRPr="00EA5052">
        <w:rPr>
          <w:rFonts w:ascii="Arial" w:eastAsia="Times New Roman" w:hAnsi="Arial" w:cs="Arial"/>
          <w:i/>
          <w:iCs/>
          <w:color w:val="000000"/>
          <w:shd w:val="clear" w:color="auto" w:fill="FFFFFF"/>
        </w:rPr>
        <w:t>BMC Genomics</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16</w:t>
      </w:r>
      <w:r w:rsidRPr="00EA5052">
        <w:rPr>
          <w:rFonts w:ascii="Arial" w:eastAsia="Times New Roman" w:hAnsi="Arial" w:cs="Arial"/>
          <w:color w:val="000000"/>
          <w:shd w:val="clear" w:color="auto" w:fill="FFFFFF"/>
        </w:rPr>
        <w:t>(1).</w:t>
      </w:r>
      <w:hyperlink r:id="rId4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https://doi.org/10.1186/s12864-015-1781-0</w:t>
        </w:r>
      </w:hyperlink>
      <w:r w:rsidRPr="00EA5052">
        <w:rPr>
          <w:rFonts w:ascii="Arial" w:eastAsia="Times New Roman" w:hAnsi="Arial" w:cs="Arial"/>
          <w:color w:val="000000"/>
          <w:shd w:val="clear" w:color="auto" w:fill="FFFFFF"/>
        </w:rPr>
        <w:t> </w:t>
      </w:r>
    </w:p>
    <w:p w14:paraId="2D488595"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Schmidt, H., Sakowski, E., Williamson, S., Polson, S., &amp; Wommack, K. (2013). Shotgun metagenomics indicates novel family A DNA polymerases predominate within marine virioplankton.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(1), 103-114.</w:t>
      </w:r>
      <w:hyperlink r:id="rId41"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https://doi.org/10.1038/ismej.2013.124</w:t>
        </w:r>
      </w:hyperlink>
      <w:r w:rsidRPr="00EA5052">
        <w:rPr>
          <w:rFonts w:ascii="Arial" w:eastAsia="Times New Roman" w:hAnsi="Arial" w:cs="Arial"/>
          <w:color w:val="000000"/>
          <w:shd w:val="clear" w:color="auto" w:fill="FFFFFF"/>
        </w:rPr>
        <w:t> </w:t>
      </w:r>
    </w:p>
    <w:p w14:paraId="52397F91"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Stough, J., Tang, X., Krausfeldt, L., Steffen, M., Gao, G., Boyer, G., &amp; Wilhelm, S. (2017). Molecular prediction of lytic vs lysogenic states for Microcystis phage: Metatranscriptomic evidence of lysogeny during large bloom events.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12</w:t>
      </w:r>
      <w:r w:rsidRPr="00EA5052">
        <w:rPr>
          <w:rFonts w:ascii="Arial" w:eastAsia="Times New Roman" w:hAnsi="Arial" w:cs="Arial"/>
          <w:color w:val="000000"/>
          <w:shd w:val="clear" w:color="auto" w:fill="FFFFFF"/>
        </w:rPr>
        <w:t>(9), e0184146.</w:t>
      </w:r>
      <w:hyperlink r:id="rId42"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https://doi.org/10.1371/journal.pone.0184146</w:t>
        </w:r>
      </w:hyperlink>
      <w:r w:rsidRPr="00EA5052">
        <w:rPr>
          <w:rFonts w:ascii="Arial" w:eastAsia="Times New Roman" w:hAnsi="Arial" w:cs="Arial"/>
          <w:color w:val="000000"/>
          <w:shd w:val="clear" w:color="auto" w:fill="FFFFFF"/>
        </w:rPr>
        <w:t> </w:t>
      </w:r>
    </w:p>
    <w:p w14:paraId="02DFC0BC"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Tadmor, A., Ottesen, E., Leadbetter, J., &amp; Phillips, R. (2011). Probing Individual Environmental Bacteria for Viruses by Using Microfluidic Digital PCR. </w:t>
      </w:r>
      <w:r w:rsidRPr="00EA5052">
        <w:rPr>
          <w:rFonts w:ascii="Arial" w:eastAsia="Times New Roman" w:hAnsi="Arial" w:cs="Arial"/>
          <w:i/>
          <w:iCs/>
          <w:color w:val="000000"/>
          <w:shd w:val="clear" w:color="auto" w:fill="FFFFFF"/>
        </w:rPr>
        <w:t>Science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333</w:t>
      </w:r>
      <w:r w:rsidRPr="00EA5052">
        <w:rPr>
          <w:rFonts w:ascii="Arial" w:eastAsia="Times New Roman" w:hAnsi="Arial" w:cs="Arial"/>
          <w:color w:val="000000"/>
          <w:shd w:val="clear" w:color="auto" w:fill="FFFFFF"/>
        </w:rPr>
        <w:t>(6038), 58-62.</w:t>
      </w:r>
      <w:hyperlink r:id="rId43"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https://doi.org/10.1126/science.1200758</w:t>
        </w:r>
      </w:hyperlink>
    </w:p>
    <w:p w14:paraId="5CF1A4B7"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Touchon, M., Bernheim, A., &amp; Rocha, E. (2016). Genetic and life-history traits associated with the distribution of prophages in bacteria.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10</w:t>
      </w:r>
      <w:r w:rsidRPr="00EA5052">
        <w:rPr>
          <w:rFonts w:ascii="Arial" w:eastAsia="Times New Roman" w:hAnsi="Arial" w:cs="Arial"/>
          <w:color w:val="000000"/>
          <w:shd w:val="clear" w:color="auto" w:fill="FFFFFF"/>
        </w:rPr>
        <w:t>(11), 2744-2754.</w:t>
      </w:r>
      <w:hyperlink r:id="rId44"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https://doi.org/10.1038/ismej.2016.47</w:t>
        </w:r>
      </w:hyperlink>
      <w:r w:rsidRPr="00EA5052">
        <w:rPr>
          <w:rFonts w:ascii="Arial" w:eastAsia="Times New Roman" w:hAnsi="Arial" w:cs="Arial"/>
          <w:color w:val="000000"/>
          <w:shd w:val="clear" w:color="auto" w:fill="FFFFFF"/>
        </w:rPr>
        <w:t> </w:t>
      </w:r>
    </w:p>
    <w:p w14:paraId="3D48F81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Waller, A., Yamada, T., Kristensen, D., Kultima, J., Sunagawa, S., Koonin, E., &amp; Bork, P. (2014). Classification and quantification of bacteriophage taxa in human gut metagenomes.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8</w:t>
      </w:r>
      <w:r w:rsidRPr="00EA5052">
        <w:rPr>
          <w:rFonts w:ascii="Arial" w:eastAsia="Times New Roman" w:hAnsi="Arial" w:cs="Arial"/>
          <w:color w:val="000000"/>
          <w:shd w:val="clear" w:color="auto" w:fill="FFFFFF"/>
        </w:rPr>
        <w:t>(7), 1391-1402.</w:t>
      </w:r>
      <w:hyperlink r:id="rId45"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https://doi.org/10.1038/ismej.2014.30</w:t>
        </w:r>
      </w:hyperlink>
      <w:r w:rsidRPr="00EA5052">
        <w:rPr>
          <w:rFonts w:ascii="Arial" w:eastAsia="Times New Roman" w:hAnsi="Arial" w:cs="Arial"/>
          <w:color w:val="000000"/>
          <w:shd w:val="clear" w:color="auto" w:fill="FFFFFF"/>
        </w:rPr>
        <w:t> </w:t>
      </w:r>
    </w:p>
    <w:p w14:paraId="3361911F"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Weitz, J., Beckett, S., Brum, J., Cael, B., &amp; Dushoff, J. (2017). Lysis, lysogeny and virus–microbe ratios. </w:t>
      </w:r>
      <w:r w:rsidRPr="00EA5052">
        <w:rPr>
          <w:rFonts w:ascii="Arial" w:eastAsia="Times New Roman" w:hAnsi="Arial" w:cs="Arial"/>
          <w:i/>
          <w:iCs/>
          <w:color w:val="000000"/>
          <w:shd w:val="clear" w:color="auto" w:fill="FFFFFF"/>
        </w:rPr>
        <w:t>Nature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549</w:t>
      </w:r>
      <w:r w:rsidRPr="00EA5052">
        <w:rPr>
          <w:rFonts w:ascii="Arial" w:eastAsia="Times New Roman" w:hAnsi="Arial" w:cs="Arial"/>
          <w:color w:val="000000"/>
          <w:shd w:val="clear" w:color="auto" w:fill="FFFFFF"/>
        </w:rPr>
        <w:t>(7672), E1-E3.</w:t>
      </w:r>
      <w:hyperlink r:id="rId46"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https://doi.org/10.1038/nature23295</w:t>
        </w:r>
      </w:hyperlink>
    </w:p>
    <w:p w14:paraId="41093026"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Wigington, C., Sonderegger, D., Brussaard, C., Buchan, A., Finke, J., &amp; Fuhrman, J. et al. (2016). Re-examination of the relationship between marine virus and microbial cell abundances. </w:t>
      </w:r>
      <w:r w:rsidRPr="00EA5052">
        <w:rPr>
          <w:rFonts w:ascii="Arial" w:eastAsia="Times New Roman" w:hAnsi="Arial" w:cs="Arial"/>
          <w:i/>
          <w:iCs/>
          <w:color w:val="000000"/>
          <w:shd w:val="clear" w:color="auto" w:fill="FFFFFF"/>
        </w:rPr>
        <w:t>Nature Microbiology</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w:t>
      </w:r>
      <w:r w:rsidRPr="00EA5052">
        <w:rPr>
          <w:rFonts w:ascii="Arial" w:eastAsia="Times New Roman" w:hAnsi="Arial" w:cs="Arial"/>
          <w:color w:val="000000"/>
          <w:shd w:val="clear" w:color="auto" w:fill="FFFFFF"/>
        </w:rPr>
        <w:t>(3).</w:t>
      </w:r>
      <w:hyperlink r:id="rId47"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https://doi.org/10.1038/nmicrobiol.2015.24</w:t>
        </w:r>
      </w:hyperlink>
    </w:p>
    <w:p w14:paraId="1888EC23"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Williamson, S., Cary, S., Williamson, K., Helton, R., Bench, S., Winget, D., &amp; Wommack, K. (2008). Lysogenic virus–host interactions predominate at deep-sea diffuse-flow hydrothermal vents. </w:t>
      </w:r>
      <w:r w:rsidRPr="00EA5052">
        <w:rPr>
          <w:rFonts w:ascii="Arial" w:eastAsia="Times New Roman" w:hAnsi="Arial" w:cs="Arial"/>
          <w:i/>
          <w:iCs/>
          <w:color w:val="000000"/>
          <w:shd w:val="clear" w:color="auto" w:fill="FFFFFF"/>
        </w:rPr>
        <w:t>The ISME Journal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2</w:t>
      </w:r>
      <w:r w:rsidRPr="00EA5052">
        <w:rPr>
          <w:rFonts w:ascii="Arial" w:eastAsia="Times New Roman" w:hAnsi="Arial" w:cs="Arial"/>
          <w:color w:val="000000"/>
          <w:shd w:val="clear" w:color="auto" w:fill="FFFFFF"/>
        </w:rPr>
        <w:t>(11), 1112-1121.</w:t>
      </w:r>
      <w:hyperlink r:id="rId48"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https://doi.org/10.1038/ismej.2008.73</w:t>
        </w:r>
      </w:hyperlink>
      <w:r w:rsidRPr="00EA5052">
        <w:rPr>
          <w:rFonts w:ascii="Arial" w:eastAsia="Times New Roman" w:hAnsi="Arial" w:cs="Arial"/>
          <w:color w:val="000000"/>
          <w:shd w:val="clear" w:color="auto" w:fill="FFFFFF"/>
        </w:rPr>
        <w:t> </w:t>
      </w:r>
    </w:p>
    <w:p w14:paraId="57D7B562"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hd w:val="clear" w:color="auto" w:fill="FFFFFF"/>
        </w:rPr>
        <w:t xml:space="preserve">Williamson, S., Rusch, D., Yooseph, S., Halpern, A., Heidelberg, K., &amp; Glass, J. et al. (2008). The Sorcerer II Global Ocean Sampling Expedition: Metagenomic Characterization of Viruses within Aquatic Microbial Samples. </w:t>
      </w:r>
      <w:r w:rsidRPr="00EA5052">
        <w:rPr>
          <w:rFonts w:ascii="Arial" w:eastAsia="Times New Roman" w:hAnsi="Arial" w:cs="Arial"/>
          <w:i/>
          <w:iCs/>
          <w:color w:val="000000"/>
          <w:shd w:val="clear" w:color="auto" w:fill="FFFFFF"/>
        </w:rPr>
        <w:t>Plos ONE</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3</w:t>
      </w:r>
      <w:r w:rsidRPr="00EA5052">
        <w:rPr>
          <w:rFonts w:ascii="Arial" w:eastAsia="Times New Roman" w:hAnsi="Arial" w:cs="Arial"/>
          <w:color w:val="000000"/>
          <w:shd w:val="clear" w:color="auto" w:fill="FFFFFF"/>
        </w:rPr>
        <w:t>(1), e1456.</w:t>
      </w:r>
      <w:hyperlink r:id="rId49"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https://doi.org/10.1371/journal.pone.0001456</w:t>
        </w:r>
      </w:hyperlink>
      <w:r w:rsidRPr="00EA5052">
        <w:rPr>
          <w:rFonts w:ascii="Arial" w:eastAsia="Times New Roman" w:hAnsi="Arial" w:cs="Arial"/>
          <w:color w:val="000000"/>
          <w:shd w:val="clear" w:color="auto" w:fill="FFFFFF"/>
        </w:rPr>
        <w:t> </w:t>
      </w:r>
    </w:p>
    <w:p w14:paraId="09565310" w14:textId="77777777" w:rsidR="00EA5052" w:rsidRPr="00EA5052" w:rsidRDefault="00EA5052" w:rsidP="00EA5052">
      <w:pPr>
        <w:numPr>
          <w:ilvl w:val="0"/>
          <w:numId w:val="13"/>
        </w:numPr>
        <w:spacing w:after="0" w:line="240" w:lineRule="auto"/>
        <w:textAlignment w:val="baseline"/>
        <w:rPr>
          <w:rFonts w:ascii="Arial" w:eastAsia="Times New Roman" w:hAnsi="Arial" w:cs="Arial"/>
          <w:color w:val="000000"/>
        </w:rPr>
      </w:pPr>
      <w:r w:rsidRPr="00EA5052">
        <w:rPr>
          <w:rFonts w:ascii="Arial" w:eastAsia="Times New Roman" w:hAnsi="Arial" w:cs="Arial"/>
          <w:color w:val="000000"/>
          <w:sz w:val="14"/>
          <w:szCs w:val="14"/>
        </w:rPr>
        <w:t> </w:t>
      </w:r>
      <w:r w:rsidRPr="00EA5052">
        <w:rPr>
          <w:rFonts w:ascii="Arial" w:eastAsia="Times New Roman" w:hAnsi="Arial" w:cs="Arial"/>
          <w:color w:val="000000"/>
          <w:shd w:val="clear" w:color="auto" w:fill="FFFFFF"/>
        </w:rPr>
        <w:t xml:space="preserve">Zeng, L., Skinner, S., Zong, C., Sippy, J., Feiss, M., &amp; Golding, I. (2010). Decision Making at a Subcellular Level Determines the Outcome of Bacteriophage Infection. </w:t>
      </w:r>
      <w:r w:rsidRPr="00EA5052">
        <w:rPr>
          <w:rFonts w:ascii="Arial" w:eastAsia="Times New Roman" w:hAnsi="Arial" w:cs="Arial"/>
          <w:i/>
          <w:iCs/>
          <w:color w:val="000000"/>
          <w:shd w:val="clear" w:color="auto" w:fill="FFFFFF"/>
        </w:rPr>
        <w:t>Cell</w:t>
      </w:r>
      <w:r w:rsidRPr="00EA5052">
        <w:rPr>
          <w:rFonts w:ascii="Arial" w:eastAsia="Times New Roman" w:hAnsi="Arial" w:cs="Arial"/>
          <w:color w:val="000000"/>
          <w:shd w:val="clear" w:color="auto" w:fill="FFFFFF"/>
        </w:rPr>
        <w:t xml:space="preserve">, </w:t>
      </w:r>
      <w:r w:rsidRPr="00EA5052">
        <w:rPr>
          <w:rFonts w:ascii="Arial" w:eastAsia="Times New Roman" w:hAnsi="Arial" w:cs="Arial"/>
          <w:i/>
          <w:iCs/>
          <w:color w:val="000000"/>
          <w:shd w:val="clear" w:color="auto" w:fill="FFFFFF"/>
        </w:rPr>
        <w:t>141</w:t>
      </w:r>
      <w:r w:rsidRPr="00EA5052">
        <w:rPr>
          <w:rFonts w:ascii="Arial" w:eastAsia="Times New Roman" w:hAnsi="Arial" w:cs="Arial"/>
          <w:color w:val="000000"/>
          <w:shd w:val="clear" w:color="auto" w:fill="FFFFFF"/>
        </w:rPr>
        <w:t>(4), 682-691.</w:t>
      </w:r>
      <w:hyperlink r:id="rId50" w:history="1">
        <w:r w:rsidRPr="00EA5052">
          <w:rPr>
            <w:rFonts w:ascii="Arial" w:eastAsia="Times New Roman" w:hAnsi="Arial" w:cs="Arial"/>
            <w:color w:val="000000"/>
            <w:u w:val="single"/>
            <w:shd w:val="clear" w:color="auto" w:fill="FFFFFF"/>
          </w:rPr>
          <w:t xml:space="preserve"> </w:t>
        </w:r>
        <w:r w:rsidRPr="00EA5052">
          <w:rPr>
            <w:rFonts w:ascii="Arial" w:eastAsia="Times New Roman" w:hAnsi="Arial" w:cs="Arial"/>
            <w:color w:val="1155CC"/>
            <w:u w:val="single"/>
            <w:shd w:val="clear" w:color="auto" w:fill="FFFFFF"/>
          </w:rPr>
          <w:t>https://doi.org/10.1016/j.cell.2010.03.034</w:t>
        </w:r>
      </w:hyperlink>
      <w:r w:rsidRPr="00EA5052">
        <w:rPr>
          <w:rFonts w:ascii="Arial" w:eastAsia="Times New Roman" w:hAnsi="Arial" w:cs="Arial"/>
          <w:color w:val="000000"/>
          <w:shd w:val="clear" w:color="auto" w:fill="FFFFFF"/>
        </w:rPr>
        <w:t> </w:t>
      </w:r>
    </w:p>
    <w:p w14:paraId="4FBD33D9" w14:textId="77777777" w:rsidR="00EA5052" w:rsidRPr="00EA5052" w:rsidRDefault="00EA5052" w:rsidP="00EA5052">
      <w:pPr>
        <w:spacing w:after="0" w:line="240" w:lineRule="auto"/>
        <w:rPr>
          <w:rFonts w:ascii="Times New Roman" w:eastAsia="Times New Roman" w:hAnsi="Times New Roman" w:cs="Times New Roman"/>
          <w:sz w:val="24"/>
          <w:szCs w:val="24"/>
        </w:rPr>
      </w:pPr>
    </w:p>
    <w:p w14:paraId="287AFE06"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w:t>
      </w:r>
    </w:p>
    <w:p w14:paraId="116FFF21" w14:textId="77777777" w:rsidR="00EA5052" w:rsidRPr="00EA5052" w:rsidRDefault="00EA5052" w:rsidP="00EA5052">
      <w:pPr>
        <w:spacing w:before="240" w:after="240" w:line="240" w:lineRule="auto"/>
        <w:rPr>
          <w:rFonts w:ascii="Times New Roman" w:eastAsia="Times New Roman" w:hAnsi="Times New Roman" w:cs="Times New Roman"/>
          <w:sz w:val="24"/>
          <w:szCs w:val="24"/>
        </w:rPr>
      </w:pPr>
      <w:r w:rsidRPr="00EA5052">
        <w:rPr>
          <w:rFonts w:ascii="Arial" w:eastAsia="Times New Roman" w:hAnsi="Arial" w:cs="Arial"/>
          <w:color w:val="000000"/>
        </w:rPr>
        <w:t> </w:t>
      </w:r>
    </w:p>
    <w:p w14:paraId="5FE6064A" w14:textId="180F9D1E" w:rsidR="00E45223" w:rsidRPr="00EA5052" w:rsidRDefault="00E45223" w:rsidP="00EA5052">
      <w:bookmarkStart w:id="0" w:name="_GoBack"/>
      <w:bookmarkEnd w:id="0"/>
    </w:p>
    <w:sectPr w:rsidR="00E45223" w:rsidRPr="00EA5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1A8"/>
    <w:multiLevelType w:val="multilevel"/>
    <w:tmpl w:val="B19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50E6"/>
    <w:multiLevelType w:val="multilevel"/>
    <w:tmpl w:val="9882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167E"/>
    <w:multiLevelType w:val="multilevel"/>
    <w:tmpl w:val="04C0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643"/>
    <w:multiLevelType w:val="multilevel"/>
    <w:tmpl w:val="2C58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C6F32"/>
    <w:multiLevelType w:val="multilevel"/>
    <w:tmpl w:val="269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C7D4F"/>
    <w:multiLevelType w:val="multilevel"/>
    <w:tmpl w:val="392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F1AD0"/>
    <w:multiLevelType w:val="multilevel"/>
    <w:tmpl w:val="8CA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1D4"/>
    <w:multiLevelType w:val="multilevel"/>
    <w:tmpl w:val="D8F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0785"/>
    <w:multiLevelType w:val="multilevel"/>
    <w:tmpl w:val="4BF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2403B"/>
    <w:multiLevelType w:val="multilevel"/>
    <w:tmpl w:val="B41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A3040"/>
    <w:multiLevelType w:val="multilevel"/>
    <w:tmpl w:val="6A7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F2B08"/>
    <w:multiLevelType w:val="multilevel"/>
    <w:tmpl w:val="34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41088"/>
    <w:multiLevelType w:val="multilevel"/>
    <w:tmpl w:val="D6E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2"/>
  </w:num>
  <w:num w:numId="5">
    <w:abstractNumId w:val="4"/>
  </w:num>
  <w:num w:numId="6">
    <w:abstractNumId w:val="11"/>
  </w:num>
  <w:num w:numId="7">
    <w:abstractNumId w:val="7"/>
  </w:num>
  <w:num w:numId="8">
    <w:abstractNumId w:val="3"/>
  </w:num>
  <w:num w:numId="9">
    <w:abstractNumId w:val="8"/>
  </w:num>
  <w:num w:numId="10">
    <w:abstractNumId w:val="12"/>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23"/>
    <w:rsid w:val="00157D45"/>
    <w:rsid w:val="00780657"/>
    <w:rsid w:val="00E45223"/>
    <w:rsid w:val="00EA5052"/>
    <w:rsid w:val="00ED3B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031A"/>
  <w15:chartTrackingRefBased/>
  <w15:docId w15:val="{20B7B4A4-D48F-4265-BF97-FA54E76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6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86559">
      <w:bodyDiv w:val="1"/>
      <w:marLeft w:val="0"/>
      <w:marRight w:val="0"/>
      <w:marTop w:val="0"/>
      <w:marBottom w:val="0"/>
      <w:divBdr>
        <w:top w:val="none" w:sz="0" w:space="0" w:color="auto"/>
        <w:left w:val="none" w:sz="0" w:space="0" w:color="auto"/>
        <w:bottom w:val="none" w:sz="0" w:space="0" w:color="auto"/>
        <w:right w:val="none" w:sz="0" w:space="0" w:color="auto"/>
      </w:divBdr>
    </w:div>
    <w:div w:id="1574386892">
      <w:bodyDiv w:val="1"/>
      <w:marLeft w:val="0"/>
      <w:marRight w:val="0"/>
      <w:marTop w:val="0"/>
      <w:marBottom w:val="0"/>
      <w:divBdr>
        <w:top w:val="none" w:sz="0" w:space="0" w:color="auto"/>
        <w:left w:val="none" w:sz="0" w:space="0" w:color="auto"/>
        <w:bottom w:val="none" w:sz="0" w:space="0" w:color="auto"/>
        <w:right w:val="none" w:sz="0" w:space="0" w:color="auto"/>
      </w:divBdr>
    </w:div>
    <w:div w:id="19849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76-6879(06)21020-6" TargetMode="External"/><Relationship Id="rId18" Type="http://schemas.openxmlformats.org/officeDocument/2006/relationships/hyperlink" Target="https://doi.org/10.1016/j.tim.2012.10.005" TargetMode="External"/><Relationship Id="rId26" Type="http://schemas.openxmlformats.org/officeDocument/2006/relationships/hyperlink" Target="https://doi.org/10.1016/b978-012397720-5.50040-2" TargetMode="External"/><Relationship Id="rId39" Type="http://schemas.openxmlformats.org/officeDocument/2006/relationships/hyperlink" Target="https://doi.org/10.1038/nbt.3935" TargetMode="External"/><Relationship Id="rId21" Type="http://schemas.openxmlformats.org/officeDocument/2006/relationships/hyperlink" Target="https://doi.org/10.1093/femsle/fnw047" TargetMode="External"/><Relationship Id="rId34" Type="http://schemas.openxmlformats.org/officeDocument/2006/relationships/hyperlink" Target="https://doi.org/10.1038/s41564-017-0008-3" TargetMode="External"/><Relationship Id="rId42" Type="http://schemas.openxmlformats.org/officeDocument/2006/relationships/hyperlink" Target="https://doi.org/10.1371/journal.pone.0184146" TargetMode="External"/><Relationship Id="rId47" Type="http://schemas.openxmlformats.org/officeDocument/2006/relationships/hyperlink" Target="https://doi.org/10.1038/nmicrobiol.2015.24" TargetMode="External"/><Relationship Id="rId50" Type="http://schemas.openxmlformats.org/officeDocument/2006/relationships/hyperlink" Target="https://doi.org/10.1016/j.cell.2010.03.034" TargetMode="External"/><Relationship Id="rId7" Type="http://schemas.openxmlformats.org/officeDocument/2006/relationships/hyperlink" Target="https://doi.org/10.1371/journal.pbio.0040368" TargetMode="External"/><Relationship Id="rId2" Type="http://schemas.openxmlformats.org/officeDocument/2006/relationships/styles" Target="styles.xml"/><Relationship Id="rId16" Type="http://schemas.openxmlformats.org/officeDocument/2006/relationships/hyperlink" Target="https://doi.org/10.4161/bact.1.1.14942" TargetMode="External"/><Relationship Id="rId29" Type="http://schemas.openxmlformats.org/officeDocument/2006/relationships/hyperlink" Target="https://doi.org/10.1016/b978-0-12-394621-8.00019-4" TargetMode="External"/><Relationship Id="rId11" Type="http://schemas.openxmlformats.org/officeDocument/2006/relationships/hyperlink" Target="https://doi.org/10.3389/fmicb.2018.00358" TargetMode="External"/><Relationship Id="rId24" Type="http://schemas.openxmlformats.org/officeDocument/2006/relationships/hyperlink" Target="https://doi.org/10.3354/meps142027" TargetMode="External"/><Relationship Id="rId32" Type="http://schemas.openxmlformats.org/officeDocument/2006/relationships/hyperlink" Target="https://doi.org/10.1371/journal.pone.0003263" TargetMode="External"/><Relationship Id="rId37" Type="http://schemas.openxmlformats.org/officeDocument/2006/relationships/hyperlink" Target="https://doi.org/10.1017/s002531540601352x" TargetMode="External"/><Relationship Id="rId40" Type="http://schemas.openxmlformats.org/officeDocument/2006/relationships/hyperlink" Target="https://doi.org/10.1186/s12864-015-1781-0" TargetMode="External"/><Relationship Id="rId45" Type="http://schemas.openxmlformats.org/officeDocument/2006/relationships/hyperlink" Target="https://doi.org/10.1038/ismej.2014.30" TargetMode="External"/><Relationship Id="rId5" Type="http://schemas.openxmlformats.org/officeDocument/2006/relationships/hyperlink" Target="https://www.academia.edu/33489587/Disambiguating_Bacteriophage_Pseudolysogeny_An_Historical_Analysis_of_Lysogeny_Pseudolysogeny_and_the_Phage_Carrier_State" TargetMode="External"/><Relationship Id="rId15" Type="http://schemas.openxmlformats.org/officeDocument/2006/relationships/hyperlink" Target="https://doi.org/10.1128/jb.184.18.5200-5203.2002" TargetMode="External"/><Relationship Id="rId23" Type="http://schemas.openxmlformats.org/officeDocument/2006/relationships/hyperlink" Target="https://doi.org/10.1016/b978-0-12-812293-8.00018-9" TargetMode="External"/><Relationship Id="rId28" Type="http://schemas.openxmlformats.org/officeDocument/2006/relationships/hyperlink" Target="https://doi.org/10.1093/bioinformatics/btn043" TargetMode="External"/><Relationship Id="rId36" Type="http://schemas.openxmlformats.org/officeDocument/2006/relationships/hyperlink" Target="https://doi.org/10.1038/1841079b0" TargetMode="External"/><Relationship Id="rId49" Type="http://schemas.openxmlformats.org/officeDocument/2006/relationships/hyperlink" Target="https://doi.org/10.1371/journal.pone.0001456" TargetMode="External"/><Relationship Id="rId10" Type="http://schemas.openxmlformats.org/officeDocument/2006/relationships/hyperlink" Target="https://doi.org/10.1073/pnas.202488399" TargetMode="External"/><Relationship Id="rId19" Type="http://schemas.openxmlformats.org/officeDocument/2006/relationships/hyperlink" Target="https://doi.org/10.1016/j.tim.2016.02.008" TargetMode="External"/><Relationship Id="rId31" Type="http://schemas.openxmlformats.org/officeDocument/2006/relationships/hyperlink" Target="https://www.ncbi.nlm.nih.gov/pmc/articles/PMC180777/?page=3" TargetMode="External"/><Relationship Id="rId44" Type="http://schemas.openxmlformats.org/officeDocument/2006/relationships/hyperlink" Target="https://doi.org/10.1038/ismej.2016.4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b978-0-12-394621-8.00014-5" TargetMode="External"/><Relationship Id="rId14" Type="http://schemas.openxmlformats.org/officeDocument/2006/relationships/hyperlink" Target="https://doi.org/10.1371/journal.ppat.1007878" TargetMode="External"/><Relationship Id="rId22" Type="http://schemas.openxmlformats.org/officeDocument/2006/relationships/hyperlink" Target="https://doi.org/10.1038/ismej.2017.16" TargetMode="External"/><Relationship Id="rId27" Type="http://schemas.openxmlformats.org/officeDocument/2006/relationships/hyperlink" Target="https://doi.org/10.1038/nature17193" TargetMode="External"/><Relationship Id="rId30" Type="http://schemas.openxmlformats.org/officeDocument/2006/relationships/hyperlink" Target="https://doi.org/10.1128/mbio.01903-17" TargetMode="External"/><Relationship Id="rId35" Type="http://schemas.openxmlformats.org/officeDocument/2006/relationships/hyperlink" Target="https://doi.org/10.3354/ame014113" TargetMode="External"/><Relationship Id="rId43" Type="http://schemas.openxmlformats.org/officeDocument/2006/relationships/hyperlink" Target="https://doi.org/10.1126/science.1200758" TargetMode="External"/><Relationship Id="rId48" Type="http://schemas.openxmlformats.org/officeDocument/2006/relationships/hyperlink" Target="https://doi.org/10.1038/ismej.2008.73" TargetMode="External"/><Relationship Id="rId8" Type="http://schemas.openxmlformats.org/officeDocument/2006/relationships/hyperlink" Target="https://doi.org/10.3389/fmicb.2017.02212"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978-1-4615-6369-3_3" TargetMode="External"/><Relationship Id="rId17" Type="http://schemas.openxmlformats.org/officeDocument/2006/relationships/hyperlink" Target="https://doi.org/10.1371/journal.pone.0001584" TargetMode="External"/><Relationship Id="rId25" Type="http://schemas.openxmlformats.org/officeDocument/2006/relationships/hyperlink" Target="https://aem.asm.org/content/aem/44/2/376.full.pdf" TargetMode="External"/><Relationship Id="rId33" Type="http://schemas.openxmlformats.org/officeDocument/2006/relationships/hyperlink" Target="https://doi.org/10.1111/1462-2920.12184" TargetMode="External"/><Relationship Id="rId38" Type="http://schemas.openxmlformats.org/officeDocument/2006/relationships/hyperlink" Target="https://doi.org/10.1373/clinchem.2008.107565" TargetMode="External"/><Relationship Id="rId46" Type="http://schemas.openxmlformats.org/officeDocument/2006/relationships/hyperlink" Target="https://doi.org/10.1038/nature23295" TargetMode="External"/><Relationship Id="rId20" Type="http://schemas.openxmlformats.org/officeDocument/2006/relationships/hyperlink" Target="https://doi.org/10.1016/j.jmb.2003.09.082" TargetMode="External"/><Relationship Id="rId41" Type="http://schemas.openxmlformats.org/officeDocument/2006/relationships/hyperlink" Target="https://doi.org/10.1038/ismej.2013.124" TargetMode="External"/><Relationship Id="rId1" Type="http://schemas.openxmlformats.org/officeDocument/2006/relationships/numbering" Target="numbering.xml"/><Relationship Id="rId6" Type="http://schemas.openxmlformats.org/officeDocument/2006/relationships/hyperlink" Target="https://doi.org/10.1111/1462-2920.1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5782</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Matthw So</dc:creator>
  <cp:keywords/>
  <dc:description/>
  <cp:lastModifiedBy>Matthw So</cp:lastModifiedBy>
  <cp:revision>1</cp:revision>
  <dcterms:created xsi:type="dcterms:W3CDTF">2020-03-22T20:33:00Z</dcterms:created>
  <dcterms:modified xsi:type="dcterms:W3CDTF">2020-03-23T04:17:00Z</dcterms:modified>
</cp:coreProperties>
</file>