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3" w:name="_Ref443905127"/>
      <w:r>
        <w:t xml:space="preserve">Figure </w:t>
      </w:r>
      <w:r w:rsidR="00FD36BE">
        <w:fldChar w:fldCharType="begin"/>
      </w:r>
      <w:r w:rsidR="00FD36BE">
        <w:instrText xml:space="preserve"> SEQ Figure \* ARABIC </w:instrText>
      </w:r>
      <w:r w:rsidR="00FD36BE">
        <w:fldChar w:fldCharType="separate"/>
      </w:r>
      <w:r w:rsidR="008A171A">
        <w:rPr>
          <w:noProof/>
        </w:rPr>
        <w:t>1</w:t>
      </w:r>
      <w:r w:rsidR="00FD36BE">
        <w:rPr>
          <w:noProof/>
        </w:rPr>
        <w:fldChar w:fldCharType="end"/>
      </w:r>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4" w:name="_Ref443905425"/>
      <w:r>
        <w:t xml:space="preserve">Figure </w:t>
      </w:r>
      <w:r w:rsidR="00FD36BE">
        <w:fldChar w:fldCharType="begin"/>
      </w:r>
      <w:r w:rsidR="00FD36BE">
        <w:instrText xml:space="preserve"> SEQ Figure \* ARABIC </w:instrText>
      </w:r>
      <w:r w:rsidR="00FD36BE">
        <w:fldChar w:fldCharType="separate"/>
      </w:r>
      <w:r w:rsidR="008A171A">
        <w:rPr>
          <w:noProof/>
        </w:rPr>
        <w:t>2</w:t>
      </w:r>
      <w:r w:rsidR="00FD36BE">
        <w:rPr>
          <w:noProof/>
        </w:rPr>
        <w:fldChar w:fldCharType="end"/>
      </w:r>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7" w:name="_Ref436732840"/>
      <w:r>
        <w:t xml:space="preserve">Figure </w:t>
      </w:r>
      <w:r w:rsidR="00FD36BE">
        <w:fldChar w:fldCharType="begin"/>
      </w:r>
      <w:r w:rsidR="00FD36BE">
        <w:instrText xml:space="preserve"> SEQ Figure \* ARABIC </w:instrText>
      </w:r>
      <w:r w:rsidR="00FD36BE">
        <w:fldChar w:fldCharType="separate"/>
      </w:r>
      <w:r w:rsidR="008A171A">
        <w:rPr>
          <w:noProof/>
        </w:rPr>
        <w:t>3</w:t>
      </w:r>
      <w:r w:rsidR="00FD36BE">
        <w:rPr>
          <w:noProof/>
        </w:rPr>
        <w:fldChar w:fldCharType="end"/>
      </w:r>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9" w:name="_Ref427937499"/>
      <w:r w:rsidRPr="00C04B34">
        <w:t xml:space="preserve">Figure </w:t>
      </w:r>
      <w:r w:rsidR="00FD36BE">
        <w:fldChar w:fldCharType="begin"/>
      </w:r>
      <w:r w:rsidR="00FD36BE">
        <w:instrText xml:space="preserve"> SEQ Figure \* ARABIC </w:instrText>
      </w:r>
      <w:r w:rsidR="00FD36BE">
        <w:fldChar w:fldCharType="separate"/>
      </w:r>
      <w:r w:rsidR="008A171A">
        <w:rPr>
          <w:noProof/>
        </w:rPr>
        <w:t>4</w:t>
      </w:r>
      <w:r w:rsidR="00FD36BE">
        <w:rPr>
          <w:noProof/>
        </w:rPr>
        <w:fldChar w:fldCharType="end"/>
      </w:r>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0" w:name="_Ref428890083"/>
      <w:r>
        <w:t xml:space="preserve">Figure </w:t>
      </w:r>
      <w:r w:rsidR="00FD36BE">
        <w:fldChar w:fldCharType="begin"/>
      </w:r>
      <w:r w:rsidR="00FD36BE">
        <w:instrText xml:space="preserve"> SEQ Figure \* ARABIC </w:instrText>
      </w:r>
      <w:r w:rsidR="00FD36BE">
        <w:fldChar w:fldCharType="separate"/>
      </w:r>
      <w:r w:rsidR="008A171A">
        <w:rPr>
          <w:noProof/>
        </w:rPr>
        <w:t>5</w:t>
      </w:r>
      <w:r w:rsidR="00FD36BE">
        <w:rPr>
          <w:noProof/>
        </w:rPr>
        <w:fldChar w:fldCharType="end"/>
      </w:r>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1" w:name="_Ref428953381"/>
      <w:r>
        <w:t xml:space="preserve">Figure </w:t>
      </w:r>
      <w:r w:rsidR="00FD36BE">
        <w:fldChar w:fldCharType="begin"/>
      </w:r>
      <w:r w:rsidR="00FD36BE">
        <w:instrText xml:space="preserve"> SEQ Figure \* ARABIC </w:instrText>
      </w:r>
      <w:r w:rsidR="00FD36BE">
        <w:fldChar w:fldCharType="separate"/>
      </w:r>
      <w:r w:rsidR="008A171A">
        <w:rPr>
          <w:noProof/>
        </w:rPr>
        <w:t>6</w:t>
      </w:r>
      <w:r w:rsidR="00FD36BE">
        <w:rPr>
          <w:noProof/>
        </w:rPr>
        <w:fldChar w:fldCharType="end"/>
      </w:r>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2" w:name="_Ref428890189"/>
      <w:r>
        <w:lastRenderedPageBreak/>
        <w:t xml:space="preserve">Figure </w:t>
      </w:r>
      <w:r w:rsidR="00FD36BE">
        <w:fldChar w:fldCharType="begin"/>
      </w:r>
      <w:r w:rsidR="00FD36BE">
        <w:instrText xml:space="preserve"> SEQ Figure \* ARABIC </w:instrText>
      </w:r>
      <w:r w:rsidR="00FD36BE">
        <w:fldChar w:fldCharType="separate"/>
      </w:r>
      <w:r w:rsidR="008A171A">
        <w:rPr>
          <w:noProof/>
        </w:rPr>
        <w:t>7</w:t>
      </w:r>
      <w:r w:rsidR="00FD36BE">
        <w:rPr>
          <w:noProof/>
        </w:rPr>
        <w:fldChar w:fldCharType="end"/>
      </w:r>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3" w:name="_Ref428953840"/>
      <w:r>
        <w:t xml:space="preserve">Figure </w:t>
      </w:r>
      <w:r w:rsidR="00FD36BE">
        <w:fldChar w:fldCharType="begin"/>
      </w:r>
      <w:r w:rsidR="00FD36BE">
        <w:instrText xml:space="preserve"> SEQ Figure \* ARABIC </w:instrText>
      </w:r>
      <w:r w:rsidR="00FD36BE">
        <w:fldChar w:fldCharType="separate"/>
      </w:r>
      <w:r w:rsidR="008A171A">
        <w:rPr>
          <w:noProof/>
        </w:rPr>
        <w:t>8</w:t>
      </w:r>
      <w:r w:rsidR="00FD36BE">
        <w:rPr>
          <w:noProof/>
        </w:rPr>
        <w:fldChar w:fldCharType="end"/>
      </w:r>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4" w:name="_Ref436664417"/>
      <w:r>
        <w:t xml:space="preserve">Figure </w:t>
      </w:r>
      <w:r w:rsidR="00FD36BE">
        <w:fldChar w:fldCharType="begin"/>
      </w:r>
      <w:r w:rsidR="00FD36BE">
        <w:instrText xml:space="preserve"> SEQ Figure \* ARABIC </w:instrText>
      </w:r>
      <w:r w:rsidR="00FD36BE">
        <w:fldChar w:fldCharType="separate"/>
      </w:r>
      <w:r w:rsidR="008A171A">
        <w:rPr>
          <w:noProof/>
        </w:rPr>
        <w:t>9</w:t>
      </w:r>
      <w:r w:rsidR="00FD36BE">
        <w:rPr>
          <w:noProof/>
        </w:rPr>
        <w:fldChar w:fldCharType="end"/>
      </w:r>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5" w:name="_Ref431567721"/>
      <w:r>
        <w:t xml:space="preserve">Figure </w:t>
      </w:r>
      <w:r w:rsidR="00FD36BE">
        <w:fldChar w:fldCharType="begin"/>
      </w:r>
      <w:r w:rsidR="00FD36BE">
        <w:instrText xml:space="preserve"> SEQ Figure \* ARABIC </w:instrText>
      </w:r>
      <w:r w:rsidR="00FD36BE">
        <w:fldChar w:fldCharType="separate"/>
      </w:r>
      <w:r w:rsidR="008A171A">
        <w:rPr>
          <w:noProof/>
        </w:rPr>
        <w:t>10</w:t>
      </w:r>
      <w:r w:rsidR="00FD36BE">
        <w:rPr>
          <w:noProof/>
        </w:rPr>
        <w:fldChar w:fldCharType="end"/>
      </w:r>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2D820228"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xml:space="preserve">, is by clicking on the “Framework Core subcategories referencing…” </w:t>
      </w:r>
      <w:r w:rsidR="00F8765E">
        <w:t>push</w:t>
      </w:r>
      <w:r>
        <w:t>button in the Security Control Editor tab. Performing either action changes the focus to the Cross References tab.</w:t>
      </w:r>
    </w:p>
    <w:p w14:paraId="32057EB8" w14:textId="25020CBE" w:rsidR="00AF7D69" w:rsidRDefault="00AF7D69" w:rsidP="009D0156">
      <w:r>
        <w:t xml:space="preserve">The Cross References tab shows all Framework Core subcategories referencing whichever security control </w:t>
      </w:r>
      <w:r w:rsidR="009D0156">
        <w:t xml:space="preserve">was most recently selected – either by clicking a “link” </w:t>
      </w:r>
      <w:r w:rsidR="00F8765E">
        <w:t>push</w:t>
      </w:r>
      <w:r w:rsidR="009D0156">
        <w:t xml:space="preserve">button in the Cyber Framework Brower tab or by clicking the “Framework Core subcategories referencing…” </w:t>
      </w:r>
      <w:r w:rsidR="00F8765E">
        <w:t>push</w:t>
      </w:r>
      <w:r w:rsidR="009D0156">
        <w:t>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7" w:name="_Ref437606196"/>
      <w:r>
        <w:t xml:space="preserve">Figure </w:t>
      </w:r>
      <w:r w:rsidR="00FD36BE">
        <w:fldChar w:fldCharType="begin"/>
      </w:r>
      <w:r w:rsidR="00FD36BE">
        <w:instrText xml:space="preserve"> SEQ Figure \* ARABIC </w:instrText>
      </w:r>
      <w:r w:rsidR="00FD36BE">
        <w:fldChar w:fldCharType="separate"/>
      </w:r>
      <w:r w:rsidR="008A171A">
        <w:rPr>
          <w:noProof/>
        </w:rPr>
        <w:t>11</w:t>
      </w:r>
      <w:r w:rsidR="00FD36BE">
        <w:rPr>
          <w:noProof/>
        </w:rPr>
        <w:fldChar w:fldCharType="end"/>
      </w:r>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18" w:name="_Ref437606767"/>
      <w:r>
        <w:t xml:space="preserve">Figure </w:t>
      </w:r>
      <w:r w:rsidR="00FD36BE">
        <w:fldChar w:fldCharType="begin"/>
      </w:r>
      <w:r w:rsidR="00FD36BE">
        <w:instrText xml:space="preserve"> SEQ Figure \* ARABIC </w:instrText>
      </w:r>
      <w:r w:rsidR="00FD36BE">
        <w:fldChar w:fldCharType="separate"/>
      </w:r>
      <w:r w:rsidR="008A171A">
        <w:rPr>
          <w:noProof/>
        </w:rPr>
        <w:t>12</w:t>
      </w:r>
      <w:r w:rsidR="00FD36BE">
        <w:rPr>
          <w:noProof/>
        </w:rPr>
        <w:fldChar w:fldCharType="end"/>
      </w:r>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778C565" w:rsidR="0032716F" w:rsidRDefault="00162F67" w:rsidP="00C04B34">
      <w:pPr>
        <w:pStyle w:val="Caption"/>
      </w:pPr>
      <w:bookmarkStart w:id="21" w:name="_Ref437527061"/>
      <w:r>
        <w:t xml:space="preserve">Figure </w:t>
      </w:r>
      <w:r w:rsidR="00FD36BE">
        <w:fldChar w:fldCharType="begin"/>
      </w:r>
      <w:r w:rsidR="00FD36BE">
        <w:instrText xml:space="preserve"> SEQ Figure \* ARABIC </w:instrText>
      </w:r>
      <w:r w:rsidR="00FD36BE">
        <w:fldChar w:fldCharType="separate"/>
      </w:r>
      <w:r w:rsidR="008A171A">
        <w:rPr>
          <w:noProof/>
        </w:rPr>
        <w:t>13</w:t>
      </w:r>
      <w:r w:rsidR="00FD36BE">
        <w:rPr>
          <w:noProof/>
        </w:rPr>
        <w:fldChar w:fldCharType="end"/>
      </w:r>
      <w:bookmarkEnd w:id="21"/>
      <w:r>
        <w:t>. Framework Profile tab.</w:t>
      </w:r>
    </w:p>
    <w:p w14:paraId="41DAFA30" w14:textId="167C35C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w:t>
      </w:r>
      <w:r w:rsidR="00C81524">
        <w:t>“</w:t>
      </w:r>
      <w:r>
        <w:t xml:space="preserve">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79BA7870" w:rsidR="00405F6F" w:rsidRDefault="00CF5D48" w:rsidP="002A3F16">
      <w:pPr>
        <w:pStyle w:val="Heading1"/>
      </w:pPr>
      <w:bookmarkStart w:id="22" w:name="_Ref431395618"/>
      <w:bookmarkStart w:id="23" w:name="_Ref436666397"/>
      <w:bookmarkEnd w:id="20"/>
      <w:r>
        <w:t>Bringing it A</w:t>
      </w:r>
      <w:r w:rsidR="00FC535E">
        <w:t>ll Together</w:t>
      </w:r>
    </w:p>
    <w:p w14:paraId="488AF6E5" w14:textId="7566DE33"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30E5DA32"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selected for implementation</w:t>
      </w:r>
      <w:r w:rsidR="00B31A45">
        <w:t xml:space="preserve">. The analyst begins by checking the NIST SP 800-82 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xml:space="preserve">). In the Cyber Framework </w:t>
      </w:r>
      <w:r w:rsidR="00B31A45">
        <w:lastRenderedPageBreak/>
        <w:t>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34309C9C"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A35ABD">
        <w:t xml:space="preserve">Figure </w:t>
      </w:r>
      <w:r w:rsidR="00A35ABD">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C81524">
        <w:t xml:space="preserve">Figure </w:t>
      </w:r>
      <w:r w:rsidR="00C81524">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E82903">
        <w:t xml:space="preserve">Figure </w:t>
      </w:r>
      <w:r w:rsidR="00E8290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78E526CF" w:rsidR="00730BAE" w:rsidRDefault="00F649F0" w:rsidP="00F649F0">
      <w:pPr>
        <w:pStyle w:val="Caption"/>
      </w:pPr>
      <w:bookmarkStart w:id="24" w:name="_Ref445194199"/>
      <w:r>
        <w:t xml:space="preserve">Figure </w:t>
      </w:r>
      <w:fldSimple w:instr=" SEQ Figure \* ARABIC ">
        <w:r w:rsidR="008A171A">
          <w:rPr>
            <w:noProof/>
          </w:rPr>
          <w:t>14</w:t>
        </w:r>
      </w:fldSimple>
      <w:bookmarkEnd w:id="24"/>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5140C33D" w:rsidR="00132A73" w:rsidRDefault="00F649F0" w:rsidP="00F649F0">
      <w:pPr>
        <w:pStyle w:val="Caption"/>
      </w:pPr>
      <w:bookmarkStart w:id="25" w:name="_Ref445219615"/>
      <w:r>
        <w:t xml:space="preserve">Figure </w:t>
      </w:r>
      <w:fldSimple w:instr=" SEQ Figure \* ARABIC ">
        <w:r w:rsidR="008A171A">
          <w:rPr>
            <w:noProof/>
          </w:rPr>
          <w:t>15</w:t>
        </w:r>
      </w:fldSimple>
      <w:bookmarkEnd w:id="25"/>
      <w:r>
        <w:t>. Controls belonging to Access Control family that are referenced by PR.AC subcategories.</w:t>
      </w:r>
    </w:p>
    <w:p w14:paraId="3C8ECFD4" w14:textId="15D1E9B2" w:rsidR="004F38F1" w:rsidRDefault="004F38F1" w:rsidP="004F38F1">
      <w:r>
        <w:t xml:space="preserve">At this point, </w:t>
      </w:r>
      <w:r w:rsidR="00E82903">
        <w:t xml:space="preserve">the analyst </w:t>
      </w:r>
      <w:r w:rsidR="001A573B">
        <w:t>wishes</w:t>
      </w:r>
      <w:r w:rsidR="00E82903">
        <w:t xml:space="preserve"> to ascertain security control AC-2’s criticality with respect to Framework Core category PR.AC. Clicking the “Framework Core Subcategories Referencing AC-2” </w:t>
      </w:r>
      <w:r w:rsidR="00F8765E">
        <w:t>push</w:t>
      </w:r>
      <w:r w:rsidR="00E82903">
        <w:t xml:space="preserve">button (shown in </w:t>
      </w:r>
      <w:r w:rsidR="00E82903">
        <w:fldChar w:fldCharType="begin"/>
      </w:r>
      <w:r w:rsidR="00E82903">
        <w:instrText xml:space="preserve"> REF _Ref445194199 \h </w:instrText>
      </w:r>
      <w:r w:rsidR="00E82903">
        <w:fldChar w:fldCharType="separate"/>
      </w:r>
      <w:r w:rsidR="00E82903">
        <w:t xml:space="preserve">Figure </w:t>
      </w:r>
      <w:r w:rsidR="00E82903">
        <w:rPr>
          <w:noProof/>
        </w:rPr>
        <w:t>14</w:t>
      </w:r>
      <w:r w:rsidR="00E82903">
        <w:fldChar w:fldCharType="end"/>
      </w:r>
      <w:r w:rsidR="00E82903">
        <w:t xml:space="preserve">) </w:t>
      </w:r>
      <w:r w:rsidR="001A573B">
        <w:t xml:space="preserve">reveals that two of the five PR.AC subcategories – PR.AC-1 and PR.AC-4 – reference AC-2  (shown in </w:t>
      </w:r>
      <w:r w:rsidR="001A573B">
        <w:fldChar w:fldCharType="begin"/>
      </w:r>
      <w:r w:rsidR="001A573B">
        <w:instrText xml:space="preserve"> REF _Ref437606767 \h </w:instrText>
      </w:r>
      <w:r w:rsidR="001A573B">
        <w:fldChar w:fldCharType="separate"/>
      </w:r>
      <w:r w:rsidR="001A573B">
        <w:t xml:space="preserve">Figure </w:t>
      </w:r>
      <w:r w:rsidR="001A573B">
        <w:rPr>
          <w:noProof/>
        </w:rPr>
        <w:t>12</w:t>
      </w:r>
      <w:r w:rsidR="001A573B">
        <w:fldChar w:fldCharType="end"/>
      </w:r>
      <w:r w:rsidR="001A573B">
        <w:t xml:space="preserve">). </w:t>
      </w:r>
      <w:r w:rsidR="00F8765E">
        <w:t xml:space="preserve">Concluding that security control AC-2 should be selected for implementation, the analyst clicks the AC-2 pushbutton shown in the upper left of </w:t>
      </w:r>
      <w:r w:rsidR="00F8765E">
        <w:fldChar w:fldCharType="begin"/>
      </w:r>
      <w:r w:rsidR="00F8765E">
        <w:instrText xml:space="preserve"> REF _Ref445287740 \h </w:instrText>
      </w:r>
      <w:r w:rsidR="00F8765E">
        <w:fldChar w:fldCharType="separate"/>
      </w:r>
      <w:r w:rsidR="00F8765E">
        <w:t xml:space="preserve">Figure </w:t>
      </w:r>
      <w:r w:rsidR="00F8765E">
        <w:rPr>
          <w:noProof/>
        </w:rPr>
        <w:t>16</w:t>
      </w:r>
      <w:r w:rsidR="00F8765E">
        <w:fldChar w:fldCharType="end"/>
      </w:r>
      <w:r w:rsidR="00F8765E">
        <w:t xml:space="preserve"> to </w:t>
      </w:r>
      <w:r w:rsidR="00B22A5F">
        <w:t>look up AC-2’s definition in the NIST SP 800-53 database.</w:t>
      </w:r>
      <w:r w:rsidR="00BC44A2">
        <w:t xml:space="preserve"> NIST SP 800-53 gives AC-2 a high priority (</w:t>
      </w:r>
      <w:r w:rsidR="00BC44A2">
        <w:fldChar w:fldCharType="begin"/>
      </w:r>
      <w:r w:rsidR="00BC44A2">
        <w:instrText xml:space="preserve"> REF _Ref445375598 \h </w:instrText>
      </w:r>
      <w:r w:rsidR="00BC44A2">
        <w:fldChar w:fldCharType="separate"/>
      </w:r>
      <w:r w:rsidR="00BC44A2">
        <w:t xml:space="preserve">Figure </w:t>
      </w:r>
      <w:r w:rsidR="00BC44A2">
        <w:rPr>
          <w:noProof/>
        </w:rPr>
        <w:t>17</w:t>
      </w:r>
      <w:r w:rsidR="00BC44A2">
        <w:fldChar w:fldCharType="end"/>
      </w:r>
      <w:r w:rsidR="00BC44A2">
        <w:t>)</w:t>
      </w:r>
      <w:r w:rsidR="00387FA5">
        <w:t xml:space="preserve">. Also, items </w:t>
      </w:r>
      <w:r w:rsidR="00387FA5" w:rsidRPr="00387FA5">
        <w:rPr>
          <w:i/>
        </w:rPr>
        <w:t>d</w:t>
      </w:r>
      <w:r w:rsidR="00387FA5">
        <w:t xml:space="preserve">, </w:t>
      </w:r>
      <w:r w:rsidR="00387FA5" w:rsidRPr="00387FA5">
        <w:rPr>
          <w:i/>
        </w:rPr>
        <w:t>i</w:t>
      </w:r>
      <w:r w:rsidR="00387FA5">
        <w:t xml:space="preserve">, and </w:t>
      </w:r>
      <w:r w:rsidR="00387FA5" w:rsidRPr="00387FA5">
        <w:rPr>
          <w:i/>
        </w:rPr>
        <w:t>k</w:t>
      </w:r>
      <w:r w:rsidR="00387FA5">
        <w:t xml:space="preserve"> in the AC-2 Control Description (</w:t>
      </w:r>
      <w:r w:rsidR="00387FA5">
        <w:fldChar w:fldCharType="begin"/>
      </w:r>
      <w:r w:rsidR="00387FA5">
        <w:instrText xml:space="preserve"> REF _Ref445377537 \h </w:instrText>
      </w:r>
      <w:r w:rsidR="00387FA5">
        <w:fldChar w:fldCharType="separate"/>
      </w:r>
      <w:r w:rsidR="00387FA5">
        <w:t xml:space="preserve">Figure </w:t>
      </w:r>
      <w:r w:rsidR="00387FA5">
        <w:rPr>
          <w:noProof/>
        </w:rPr>
        <w:t>18</w:t>
      </w:r>
      <w:r w:rsidR="00387FA5">
        <w:fldChar w:fldCharType="end"/>
      </w:r>
      <w:r w:rsidR="00387FA5">
        <w:t>) appear to apply to category PR.AC. T</w:t>
      </w:r>
      <w:r w:rsidR="00BC44A2">
        <w:t xml:space="preserve">he analyst </w:t>
      </w:r>
      <w:r w:rsidR="00387FA5">
        <w:t xml:space="preserve">therefore </w:t>
      </w:r>
      <w:r w:rsidR="00BC44A2">
        <w:t xml:space="preserve">decides to go ahead and tailor AC-2 for DCS protection. </w:t>
      </w:r>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78FE71B3" w:rsidR="00730BAE" w:rsidRDefault="00F649F0" w:rsidP="00F649F0">
      <w:pPr>
        <w:pStyle w:val="Caption"/>
      </w:pPr>
      <w:bookmarkStart w:id="26" w:name="_Ref445287740"/>
      <w:r>
        <w:t xml:space="preserve">Figure </w:t>
      </w:r>
      <w:fldSimple w:instr=" SEQ Figure \* ARABIC ">
        <w:r w:rsidR="008A171A">
          <w:rPr>
            <w:noProof/>
          </w:rPr>
          <w:t>16</w:t>
        </w:r>
      </w:fldSimple>
      <w:bookmarkEnd w:id="26"/>
      <w:r>
        <w:t xml:space="preserve">. </w:t>
      </w:r>
      <w:r w:rsidRPr="00C04B34">
        <w:t xml:space="preserve">Security control </w:t>
      </w:r>
      <w:r>
        <w:t>AC-2</w:t>
      </w:r>
      <w:r w:rsidRPr="00C04B34">
        <w:t>.</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47B434C2" w:rsidR="00730BAE" w:rsidRDefault="008A171A" w:rsidP="008A171A">
      <w:pPr>
        <w:pStyle w:val="Caption"/>
      </w:pPr>
      <w:bookmarkStart w:id="27" w:name="_Ref445375598"/>
      <w:r>
        <w:t xml:space="preserve">Figure </w:t>
      </w:r>
      <w:fldSimple w:instr=" SEQ Figure \* ARABIC ">
        <w:r>
          <w:rPr>
            <w:noProof/>
          </w:rPr>
          <w:t>17</w:t>
        </w:r>
      </w:fldSimple>
      <w:bookmarkEnd w:id="27"/>
      <w:r>
        <w:t>. NIST SP 800-53 database: AC-2 summary.</w:t>
      </w:r>
    </w:p>
    <w:p w14:paraId="6758D795" w14:textId="54E1F07E" w:rsidR="00BC44A2" w:rsidRP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t xml:space="preserve">Figure </w:t>
      </w:r>
      <w:r>
        <w:rPr>
          <w:noProof/>
        </w:rPr>
        <w:t>16</w:t>
      </w:r>
      <w:r>
        <w:fldChar w:fldCharType="end"/>
      </w:r>
      <w:r>
        <w:t>, to the right of the AC-2 pushbutton</w:t>
      </w:r>
      <w:r w:rsidR="00672C18">
        <w:t xml:space="preserve">, to view AC-2’s tailoring guidance in the NIST SP 800-82 Industrial Control System overlay. The overlay guidance </w:t>
      </w:r>
      <w:bookmarkStart w:id="28" w:name="_GoBack"/>
      <w:bookmarkEnd w:id="28"/>
    </w:p>
    <w:p w14:paraId="130010E5" w14:textId="77777777" w:rsidR="008A171A" w:rsidRDefault="00730BAE" w:rsidP="008A171A">
      <w:pPr>
        <w:keepNext/>
      </w:pPr>
      <w:r>
        <w:rPr>
          <w:noProof/>
        </w:rPr>
        <w:lastRenderedPageBreak/>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bookmarkStart w:id="29" w:name="_Ref445377537"/>
      <w:r>
        <w:t xml:space="preserve">Figure </w:t>
      </w:r>
      <w:fldSimple w:instr=" SEQ Figure \* ARABIC ">
        <w:r>
          <w:rPr>
            <w:noProof/>
          </w:rPr>
          <w:t>18</w:t>
        </w:r>
      </w:fldSimple>
      <w:bookmarkEnd w:id="29"/>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r>
        <w:t xml:space="preserve">Figure </w:t>
      </w:r>
      <w:fldSimple w:instr=" SEQ Figure \* ARABIC ">
        <w:r>
          <w:rPr>
            <w:noProof/>
          </w:rPr>
          <w:t>19</w:t>
        </w:r>
      </w:fldSimple>
      <w:r>
        <w:t>. NIST SP 800-82 ICS Overlay definition: AC-2.</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w:t>
      </w:r>
      <w:r w:rsidR="00BC339A">
        <w:lastRenderedPageBreak/>
        <w:t>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lastRenderedPageBreak/>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4D9D0" w14:textId="77777777" w:rsidR="00FD36BE" w:rsidRDefault="00FD36BE" w:rsidP="007B0E77">
      <w:pPr>
        <w:spacing w:after="0" w:line="240" w:lineRule="auto"/>
      </w:pPr>
      <w:r>
        <w:separator/>
      </w:r>
    </w:p>
  </w:endnote>
  <w:endnote w:type="continuationSeparator" w:id="0">
    <w:p w14:paraId="3CBEC4F0" w14:textId="77777777" w:rsidR="00FD36BE" w:rsidRDefault="00FD36BE"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3413867" w:rsidR="00DC7AF1" w:rsidRDefault="00DC7AF1">
        <w:pPr>
          <w:pStyle w:val="Footer"/>
          <w:jc w:val="center"/>
        </w:pPr>
        <w:r>
          <w:fldChar w:fldCharType="begin"/>
        </w:r>
        <w:r>
          <w:instrText xml:space="preserve"> PAGE   \* MERGEFORMAT </w:instrText>
        </w:r>
        <w:r>
          <w:fldChar w:fldCharType="separate"/>
        </w:r>
        <w:r w:rsidR="00672C18">
          <w:rPr>
            <w:noProof/>
          </w:rPr>
          <w:t>15</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D19D8" w14:textId="77777777" w:rsidR="00FD36BE" w:rsidRDefault="00FD36BE" w:rsidP="007B0E77">
      <w:pPr>
        <w:spacing w:after="0" w:line="240" w:lineRule="auto"/>
      </w:pPr>
      <w:r>
        <w:separator/>
      </w:r>
    </w:p>
  </w:footnote>
  <w:footnote w:type="continuationSeparator" w:id="0">
    <w:p w14:paraId="5FCA74D3" w14:textId="77777777" w:rsidR="00FD36BE" w:rsidRDefault="00FD36BE"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F63AA"/>
    <w:rsid w:val="00100664"/>
    <w:rsid w:val="00103F68"/>
    <w:rsid w:val="001226E5"/>
    <w:rsid w:val="00125665"/>
    <w:rsid w:val="00132A73"/>
    <w:rsid w:val="00140397"/>
    <w:rsid w:val="001451F3"/>
    <w:rsid w:val="00157B83"/>
    <w:rsid w:val="00162F67"/>
    <w:rsid w:val="0018417A"/>
    <w:rsid w:val="001906E2"/>
    <w:rsid w:val="00190CD3"/>
    <w:rsid w:val="001927F2"/>
    <w:rsid w:val="00197E1E"/>
    <w:rsid w:val="001A573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C7DC9"/>
    <w:rsid w:val="002D2F7A"/>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87FA5"/>
    <w:rsid w:val="003905B2"/>
    <w:rsid w:val="0039448C"/>
    <w:rsid w:val="00397090"/>
    <w:rsid w:val="003974D9"/>
    <w:rsid w:val="00397EDC"/>
    <w:rsid w:val="003A4661"/>
    <w:rsid w:val="003A4E32"/>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F0D4C"/>
    <w:rsid w:val="003F4F50"/>
    <w:rsid w:val="003F6475"/>
    <w:rsid w:val="00403247"/>
    <w:rsid w:val="004040B4"/>
    <w:rsid w:val="00405F6F"/>
    <w:rsid w:val="004129DD"/>
    <w:rsid w:val="0041301F"/>
    <w:rsid w:val="00415627"/>
    <w:rsid w:val="00432351"/>
    <w:rsid w:val="0044066D"/>
    <w:rsid w:val="00466E15"/>
    <w:rsid w:val="0048232B"/>
    <w:rsid w:val="00494539"/>
    <w:rsid w:val="00494736"/>
    <w:rsid w:val="00497E15"/>
    <w:rsid w:val="004A09DD"/>
    <w:rsid w:val="004A71A8"/>
    <w:rsid w:val="004B1A75"/>
    <w:rsid w:val="004B38F4"/>
    <w:rsid w:val="004B6641"/>
    <w:rsid w:val="004C4191"/>
    <w:rsid w:val="004C48F6"/>
    <w:rsid w:val="004C7588"/>
    <w:rsid w:val="004D2023"/>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2023"/>
    <w:rsid w:val="005A3729"/>
    <w:rsid w:val="005A42BB"/>
    <w:rsid w:val="005A4AB8"/>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4AF3"/>
    <w:rsid w:val="006551C8"/>
    <w:rsid w:val="00666553"/>
    <w:rsid w:val="00672C18"/>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AEA"/>
    <w:rsid w:val="00890D04"/>
    <w:rsid w:val="0089263C"/>
    <w:rsid w:val="00892730"/>
    <w:rsid w:val="00896B5E"/>
    <w:rsid w:val="00897929"/>
    <w:rsid w:val="008A171A"/>
    <w:rsid w:val="008C0CAF"/>
    <w:rsid w:val="008C33D6"/>
    <w:rsid w:val="008D102D"/>
    <w:rsid w:val="008D2001"/>
    <w:rsid w:val="008E0C2C"/>
    <w:rsid w:val="008E64AA"/>
    <w:rsid w:val="008F4916"/>
    <w:rsid w:val="008F770A"/>
    <w:rsid w:val="009202DE"/>
    <w:rsid w:val="00947A8A"/>
    <w:rsid w:val="00957B0C"/>
    <w:rsid w:val="00966F63"/>
    <w:rsid w:val="00967512"/>
    <w:rsid w:val="009765F5"/>
    <w:rsid w:val="0098171A"/>
    <w:rsid w:val="00982926"/>
    <w:rsid w:val="009936DE"/>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35ABD"/>
    <w:rsid w:val="00A41E70"/>
    <w:rsid w:val="00A42405"/>
    <w:rsid w:val="00A52649"/>
    <w:rsid w:val="00A56437"/>
    <w:rsid w:val="00A63677"/>
    <w:rsid w:val="00A71FA3"/>
    <w:rsid w:val="00A7616F"/>
    <w:rsid w:val="00A836B7"/>
    <w:rsid w:val="00A870C4"/>
    <w:rsid w:val="00A91822"/>
    <w:rsid w:val="00A9220F"/>
    <w:rsid w:val="00A944D1"/>
    <w:rsid w:val="00AA0F68"/>
    <w:rsid w:val="00AA3D04"/>
    <w:rsid w:val="00AC2358"/>
    <w:rsid w:val="00AC519C"/>
    <w:rsid w:val="00AC63B7"/>
    <w:rsid w:val="00AC69D4"/>
    <w:rsid w:val="00AD1EA6"/>
    <w:rsid w:val="00AE0005"/>
    <w:rsid w:val="00AF0773"/>
    <w:rsid w:val="00AF51EE"/>
    <w:rsid w:val="00AF7D69"/>
    <w:rsid w:val="00B06935"/>
    <w:rsid w:val="00B10443"/>
    <w:rsid w:val="00B11575"/>
    <w:rsid w:val="00B14FE8"/>
    <w:rsid w:val="00B20C04"/>
    <w:rsid w:val="00B218FE"/>
    <w:rsid w:val="00B22A5F"/>
    <w:rsid w:val="00B31A45"/>
    <w:rsid w:val="00B506B3"/>
    <w:rsid w:val="00B537BC"/>
    <w:rsid w:val="00B542F2"/>
    <w:rsid w:val="00B55A44"/>
    <w:rsid w:val="00B55C64"/>
    <w:rsid w:val="00B628BF"/>
    <w:rsid w:val="00B71008"/>
    <w:rsid w:val="00B71522"/>
    <w:rsid w:val="00B73250"/>
    <w:rsid w:val="00B76C9C"/>
    <w:rsid w:val="00B95436"/>
    <w:rsid w:val="00B96812"/>
    <w:rsid w:val="00BA1D45"/>
    <w:rsid w:val="00BA658F"/>
    <w:rsid w:val="00BB2A2F"/>
    <w:rsid w:val="00BB3F0E"/>
    <w:rsid w:val="00BB6AC0"/>
    <w:rsid w:val="00BB7D35"/>
    <w:rsid w:val="00BC2519"/>
    <w:rsid w:val="00BC2A9C"/>
    <w:rsid w:val="00BC2E80"/>
    <w:rsid w:val="00BC3357"/>
    <w:rsid w:val="00BC339A"/>
    <w:rsid w:val="00BC44A2"/>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5D48"/>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D711A"/>
    <w:rsid w:val="00DE2B61"/>
    <w:rsid w:val="00E07DE0"/>
    <w:rsid w:val="00E23F32"/>
    <w:rsid w:val="00E264E5"/>
    <w:rsid w:val="00E35F29"/>
    <w:rsid w:val="00E44891"/>
    <w:rsid w:val="00E4739E"/>
    <w:rsid w:val="00E51161"/>
    <w:rsid w:val="00E60878"/>
    <w:rsid w:val="00E703FC"/>
    <w:rsid w:val="00E82903"/>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3506"/>
    <w:rsid w:val="00F85A34"/>
    <w:rsid w:val="00F8765E"/>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36BE"/>
    <w:rsid w:val="00FD669B"/>
    <w:rsid w:val="00FE3A1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DB14B-3CC8-485E-A609-0F2D3D5FF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10102</TotalTime>
  <Pages>20</Pages>
  <Words>6652</Words>
  <Characters>37920</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236</cp:revision>
  <cp:lastPrinted>2016-02-24T21:00:00Z</cp:lastPrinted>
  <dcterms:created xsi:type="dcterms:W3CDTF">2015-08-21T13:32:00Z</dcterms:created>
  <dcterms:modified xsi:type="dcterms:W3CDTF">2016-03-10T17:55:00Z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