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Review-Response Document</w:t>
      </w:r>
    </w:p>
    <w:p>
      <w:pPr>
        <w:jc w:val="center"/>
      </w:pPr>
      <w:r>
        <w:rPr>
          <w:i/>
          <w:sz w:val="22"/>
        </w:rPr>
        <w:t>Thesis: Objective Head-Related Transfer Function Evaluation Metrics for More Consistent Perceptual Assessment</w:t>
      </w:r>
      <w:r>
        <w:br/>
      </w:r>
      <w:r>
        <w:rPr>
          <w:sz w:val="22"/>
        </w:rPr>
        <w:t>Author: Shanghao Zou | Student ID: 1235425</w:t>
      </w:r>
      <w:r>
        <w:br/>
      </w:r>
      <w:r>
        <w:rPr>
          <w:sz w:val="22"/>
        </w:rPr>
        <w:t>Supervisor: Dr. Baha Ihnaini</w:t>
      </w:r>
      <w:r>
        <w:br/>
      </w:r>
      <w:r>
        <w:rPr>
          <w:sz w:val="22"/>
        </w:rPr>
        <w:t>Date: May 2026</w:t>
      </w:r>
    </w:p>
    <w:p/>
    <w:p>
      <w:r>
        <w:t>This document addresses all feedback received on the first draft of the thesis. Each comment is listed below along with the student's response and a description of the revisions made in the thesis.</w:t>
      </w:r>
    </w:p>
    <w:p/>
    <w:p>
      <w:pPr>
        <w:pStyle w:val="Heading1"/>
      </w:pPr>
      <w:r>
        <w:t>Feedback 1</w:t>
      </w:r>
    </w:p>
    <w:p>
      <w:pPr>
        <w:pStyle w:val="Heading2"/>
      </w:pPr>
      <w:r>
        <w:t>Comment:</w:t>
      </w:r>
    </w:p>
    <w:p>
      <w:r>
        <w:rPr>
          <w:i/>
        </w:rPr>
        <w:t>"Add clearer justification for the weights or normalization strategy used in the Composite Perceptual Metric."</w:t>
      </w:r>
    </w:p>
    <w:p>
      <w:pPr>
        <w:pStyle w:val="Heading2"/>
      </w:pPr>
      <w:r>
        <w:t>Response:</w:t>
      </w:r>
    </w:p>
    <w:p>
      <w:r>
        <w:rPr>
          <w:b/>
        </w:rPr>
        <w:t xml:space="preserve">Accepted and addressed. </w:t>
      </w:r>
      <w:r>
        <w:t>The CPM weight and normalization justification in Section 3.3 (Composite Perceptual Metric) has been substantially expanded. The revised text now includes:</w:t>
      </w:r>
    </w:p>
    <w:p>
      <w:pPr>
        <w:pStyle w:val="ListBullet"/>
      </w:pPr>
      <w:r>
        <w:t>A detailed, item-by-item justification of each normalization reference value (LSD_ref = 2.0 dB, ILD_ref = 1.0 dB, GD_ref = 0.08 ms, ITD_ref = 0.03 ms), with explicit citations to the psychoacoustic JND literature (Blauert, 1997; Andreopoulou &amp; Katz, 2022).</w:t>
      </w:r>
    </w:p>
    <w:p>
      <w:pPr>
        <w:pStyle w:val="ListBullet"/>
      </w:pPr>
      <w:r>
        <w:t>A principled hierarchy for the weight assignment based on two criteria: (1) diagnostic gap—how much information the metric provides beyond what LSD already captures, and (2) perceptual salience of the cue class for spatial hearing.</w:t>
      </w:r>
    </w:p>
    <w:p>
      <w:pPr>
        <w:pStyle w:val="ListBullet"/>
      </w:pPr>
      <w:r>
        <w:t>An explicit acknowledgment that the weights are heuristic and a forward reference to Section 5.2, which describes how they can be empirically optimized via regression against subjective MUSHRA scores once such data become available.</w:t>
      </w:r>
    </w:p>
    <w:p>
      <w:r>
        <w:rPr>
          <w:b/>
        </w:rPr>
        <w:t xml:space="preserve">Location of revision: </w:t>
      </w:r>
      <w:r>
        <w:t>Section 3.3 (Composite Perceptual Metric), pages 10–11 of the revised thesis.</w:t>
      </w:r>
    </w:p>
    <w:p>
      <w:pPr>
        <w:pStyle w:val="Heading1"/>
      </w:pPr>
      <w:r>
        <w:t>Feedback 2</w:t>
      </w:r>
    </w:p>
    <w:p>
      <w:pPr>
        <w:pStyle w:val="Heading2"/>
      </w:pPr>
      <w:r>
        <w:t>Comment:</w:t>
      </w:r>
    </w:p>
    <w:p>
      <w:r>
        <w:rPr>
          <w:i/>
        </w:rPr>
        <w:t>"Include a small subjective listening validation or a plan for pilot validation to support the claim that CPM better reflects human perception."</w:t>
      </w:r>
    </w:p>
    <w:p>
      <w:pPr>
        <w:pStyle w:val="Heading2"/>
      </w:pPr>
      <w:r>
        <w:t>Response:</w:t>
      </w:r>
    </w:p>
    <w:p>
      <w:r>
        <w:rPr>
          <w:b/>
        </w:rPr>
        <w:t xml:space="preserve">Respectfully declined. </w:t>
      </w:r>
      <w:r>
        <w:t>Conducting a subjective listening test—even a small pilot study—requires recruiting qualified listeners, setting up a controlled acoustic environment, implementing a MUSHRA test interface, and obtaining ethical approval for human subject research. These requirements cannot be fulfilled within the revision timeline. Furthermore, the thesis already acknowledges this as its primary limitation (Section 4.5, Limitations) and provides a detailed, concrete MUSHRA validation protocol in Section 5.2 (Future Work, Item 1), specifying the number of listeners (15), screening criteria (repeatability rate &gt; 70%), rating attributes (localization accuracy, externalization, overall quality), anchor design (3.5 kHz low-pass), and statistical success criteria (r &gt; 0.8, p &lt; 0.05). This protocol is sufficiently detailed to serve as a blueprint for immediate follow-up research. Adding a hastily conducted pilot with an insufficient number of unscreened listeners would risk producing unreliable data that could undermine, rather than support, the thesis claims.</w:t>
      </w:r>
    </w:p>
    <w:p>
      <w:r>
        <w:rPr>
          <w:b/>
        </w:rPr>
        <w:t xml:space="preserve">Location of relevant content: </w:t>
      </w:r>
      <w:r>
        <w:t>Section 4.5 (Limitations) and Section 5.2 (Future Work, Item 1: Subjective MUSHRA Validation).</w:t>
      </w:r>
    </w:p>
    <w:p>
      <w:pPr>
        <w:pStyle w:val="Heading1"/>
      </w:pPr>
      <w:r>
        <w:t>Feedback 3</w:t>
      </w:r>
    </w:p>
    <w:p>
      <w:pPr>
        <w:pStyle w:val="Heading2"/>
      </w:pPr>
      <w:r>
        <w:t>Comment:</w:t>
      </w:r>
    </w:p>
    <w:p>
      <w:r>
        <w:rPr>
          <w:i/>
        </w:rPr>
        <w:t>"Present more visual analysis, such as condition-wise plots showing how LSD, ILD, ITD, and group delay behave differently across degradation types."</w:t>
      </w:r>
    </w:p>
    <w:p>
      <w:pPr>
        <w:pStyle w:val="Heading2"/>
      </w:pPr>
      <w:r>
        <w:t>Response:</w:t>
      </w:r>
    </w:p>
    <w:p>
      <w:r>
        <w:rPr>
          <w:b/>
        </w:rPr>
        <w:t xml:space="preserve">Accepted and addressed. </w:t>
      </w:r>
      <w:r>
        <w:t>Three new figures have been added to Chapter 4 (Section 4.4):</w:t>
      </w:r>
    </w:p>
    <w:p>
      <w:pPr>
        <w:pStyle w:val="ListBullet"/>
      </w:pPr>
      <w:r>
        <w:t>Figure 4.5 — Individual Metric Responses: A 2×2 panel of bar charts showing the absolute value (± 1 SD) of each metric (LSD, ILD Error, GD Error, ITD Error) across all five degradation conditions. This allows direct comparison of each metric's sensitivity profile.</w:t>
      </w:r>
    </w:p>
    <w:p>
      <w:pPr>
        <w:pStyle w:val="ListBullet"/>
      </w:pPr>
      <w:r>
        <w:t>Figure 4.6 — Radar Chart: A normalised radar (spider) chart showing the metric profile of each degradation condition. This visualisation highlights the complementary nature of the four metrics and makes the minimum-phase condition's unique profile immediately apparent.</w:t>
      </w:r>
    </w:p>
    <w:p>
      <w:pPr>
        <w:pStyle w:val="ListBullet"/>
      </w:pPr>
      <w:r>
        <w:t>Figure 4.7 — CPM Component Breakdown: A stacked bar chart decomposing the CPM score into its four weighted components for each condition. This reveals that the group delay component accounts for over 95% of the minimum-phase condition's CPM, while the smoothing conditions show balanced contributions from LSD and ILD.</w:t>
      </w:r>
    </w:p>
    <w:p>
      <w:r>
        <w:t>The Discussion section (Section 4.5) has also been updated to reference these new figures and integrate their analysis into the narrative.</w:t>
      </w:r>
    </w:p>
    <w:p>
      <w:r>
        <w:rPr>
          <w:b/>
        </w:rPr>
        <w:t xml:space="preserve">Location of revision: </w:t>
      </w:r>
      <w:r>
        <w:t>Section 4.4 (Figures), new Figures 4.5–4.7; Section 4.5 (Discussion), expanded text referencing the new figures.</w:t>
      </w:r>
    </w:p>
    <w:p>
      <w:pPr>
        <w:pStyle w:val="Heading1"/>
      </w:pPr>
      <w:r>
        <w:t>Feedback 4</w:t>
      </w:r>
    </w:p>
    <w:p>
      <w:pPr>
        <w:pStyle w:val="Heading2"/>
      </w:pPr>
      <w:r>
        <w:t>Comment:</w:t>
      </w:r>
    </w:p>
    <w:p>
      <w:r>
        <w:rPr>
          <w:i/>
        </w:rPr>
        <w:t>"Add 1–2 recent references to meet the 40% recent reference requirement. Expand the discussion in Chapter 4 to better link the results to the existing literature."</w:t>
      </w:r>
    </w:p>
    <w:p>
      <w:pPr>
        <w:pStyle w:val="Heading2"/>
      </w:pPr>
      <w:r>
        <w:t>Response:</w:t>
      </w:r>
    </w:p>
    <w:p>
      <w:r>
        <w:rPr>
          <w:b/>
        </w:rPr>
        <w:t xml:space="preserve">Accepted and addressed. </w:t>
      </w:r>
      <w:r>
        <w:t>Two new references from 2025 have been added:</w:t>
      </w:r>
    </w:p>
    <w:p>
      <w:pPr>
        <w:pStyle w:val="ListBullet"/>
      </w:pPr>
      <w:r>
        <w:t>Fantini, D., Geronazzo, M., &amp; Avanzini, F. (2025). "A survey on machine learning techniques for head-related transfer function individualization." IEEE Open Journal of Signal Processing, 6, 217–248. — This comprehensive survey confirms that MSE/LSD remain the dominant loss functions in deep learning HRTF pipelines, directly motivating the need for composite alternatives.</w:t>
      </w:r>
    </w:p>
    <w:p>
      <w:pPr>
        <w:pStyle w:val="ListBullet"/>
      </w:pPr>
      <w:r>
        <w:t>Weckbecker, D., Ragano, A., &amp; Hines, A. (2025). "QASTAnet: A DNN-based quality metric for spatial audio." Proceedings of ICASSP 2025. — This work proposes a learned spatial audio quality metric, representing the growing trend toward DNN-based perceptual evaluation.</w:t>
      </w:r>
    </w:p>
    <w:p>
      <w:r>
        <w:t>These references have been integrated into both the Literature Review (Section 2.2.4, Recent Advances) and the Discussion (Section 4.5, new paragraph: "Connection to the Broader Metric Landscape"). The expanded Discussion now explicitly links the experimental results to findings by Doma et al. (2023), Armstrong et al. (2024), Fantini et al. (2025), Weckbecker et al. (2025), and Panah et al. (2025), contextualizing the CPM framework within the current state of the field.</w:t>
      </w:r>
    </w:p>
    <w:p>
      <w:r>
        <w:rPr>
          <w:b/>
        </w:rPr>
        <w:t xml:space="preserve">Reference count update: </w:t>
      </w:r>
      <w:r>
        <w:t>The bibliography now contains 23 references. Of these, 12 are from 2020–2025 (52%), meeting the 40% recent reference requirement.</w:t>
      </w:r>
    </w:p>
    <w:p>
      <w:r>
        <w:rPr>
          <w:b/>
        </w:rPr>
        <w:t xml:space="preserve">Location of revision: </w:t>
      </w:r>
      <w:r>
        <w:t>Section 2.2.4 (Recent Advances), new paragraph after BINAQUAL; Section 4.5 (Discussion), new paragraph "Connection to the Broader Metric Landscape"; references.bib, two new entries.</w:t>
      </w:r>
    </w:p>
    <w:p>
      <w:pPr>
        <w:pStyle w:val="Heading1"/>
      </w:pPr>
      <w:r>
        <w:t>Feedback 5</w:t>
      </w:r>
    </w:p>
    <w:p>
      <w:pPr>
        <w:pStyle w:val="Heading2"/>
      </w:pPr>
      <w:r>
        <w:t>Comment:</w:t>
      </w:r>
    </w:p>
    <w:p>
      <w:r>
        <w:rPr>
          <w:i/>
        </w:rPr>
        <w:t>"No source code is provided to verify the implementation. It would be better to upload the code to a GitHub repository."</w:t>
      </w:r>
    </w:p>
    <w:p>
      <w:pPr>
        <w:pStyle w:val="Heading2"/>
      </w:pPr>
      <w:r>
        <w:t>Response:</w:t>
      </w:r>
    </w:p>
    <w:p>
      <w:r>
        <w:rPr>
          <w:b/>
        </w:rPr>
        <w:t xml:space="preserve">Accepted and addressed. </w:t>
      </w:r>
      <w:r>
        <w:t>The complete source code for the experiment (experiment.py) has been uploaded to a public GitHub repository:</w:t>
      </w:r>
    </w:p>
    <w:p>
      <w:pPr>
        <w:jc w:val="center"/>
      </w:pPr>
      <w:r>
        <w:rPr>
          <w:b/>
          <w:color w:val="0000EE"/>
        </w:rPr>
        <w:t>https://github.com/Aper-mesa/Raytraced-Audio</w:t>
      </w:r>
    </w:p>
    <w:p>
      <w:r>
        <w:t>The repository contains: the experiment Python script (experiment.py) with all degradation functions, metric implementations, and visualization code; the generated figures; the results data (results.csv); and the LaTeX thesis source. A footnote linking to the repository has been added to Section 4.1 (Experimental Setup) of the thesis.</w:t>
      </w:r>
    </w:p>
    <w:p>
      <w:r>
        <w:rPr>
          <w:b/>
        </w:rPr>
        <w:t xml:space="preserve">Location of revision: </w:t>
      </w:r>
      <w:r>
        <w:t>Section 4.1 (Experimental Setup), footnote 1;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