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Where an unaided clinician’s deep-learning study breaks: a three-rung external-validation ladder for spleen segmentation, and a preprocessing contract that fails in silence</w:t>
      </w:r>
    </w:p>
    <w:p>
      <w:pPr>
        <w:pStyle w:val="Author"/>
      </w:pPr>
      <w:r>
        <w:t xml:space="preserve">Demonstration Author</w:t>
      </w:r>
    </w:p>
    <w:p>
      <w:pPr>
        <w:pStyle w:val="Date"/>
      </w:pPr>
      <w:r>
        <w:t xml:space="preserve">2026-07-31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 and objective.</w:t>
      </w:r>
      <w:r>
        <w:t xml:space="preserve"> </w:t>
      </w:r>
      <w:r>
        <w:t xml:space="preserve">Agentic toolkits can now scaffold a medical-imaging model, and a</w:t>
      </w:r>
      <w:r>
        <w:t xml:space="preserve"> </w:t>
      </w:r>
      <w:r>
        <w:t xml:space="preserve">clinician-researcher without an engineer can plausibly reach a trained network. Where that path</w:t>
      </w:r>
      <w:r>
        <w:t xml:space="preserve"> </w:t>
      </w:r>
      <w:r>
        <w:t xml:space="preserve">breaks is not known.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trained nnU-Net v2</w:t>
      </w:r>
      <w:r>
        <w:t xml:space="preserve"> </w:t>
      </w:r>
      <w:r>
        <w:t xml:space="preserve">(1)</w:t>
      </w:r>
      <w:r>
        <w:t xml:space="preserve"> </w:t>
      </w:r>
      <w:r>
        <w:t xml:space="preserve">for 3-D spleen segmentation on 32 cases of</w:t>
      </w:r>
      <w:r>
        <w:t xml:space="preserve"> </w:t>
      </w:r>
      <w:r>
        <w:t xml:space="preserve">the Medical Segmentation Decathlon Task09</w:t>
      </w:r>
      <w:r>
        <w:t xml:space="preserve"> </w:t>
      </w:r>
      <w:r>
        <w:t xml:space="preserve">(2)</w:t>
      </w:r>
      <w:r>
        <w:t xml:space="preserve"> </w:t>
      </w:r>
      <w:r>
        <w:t xml:space="preserve">under a patient-level split, and</w:t>
      </w:r>
      <w:r>
        <w:t xml:space="preserve"> </w:t>
      </w:r>
      <w:r>
        <w:t xml:space="preserve">evaluated it on three labelled rungs: the internal held-out set, AMOS22 CT (n = 300) as a genuinely</w:t>
      </w:r>
      <w:r>
        <w:t xml:space="preserve"> </w:t>
      </w:r>
      <w:r>
        <w:t xml:space="preserve">external cohort, and AMOS22 MRI (n = 60) as a modality shift</w:t>
      </w:r>
      <w:r>
        <w:t xml:space="preserve"> </w:t>
      </w:r>
      <w:r>
        <w:t xml:space="preserve">(3)</w:t>
      </w:r>
      <w:r>
        <w:t xml:space="preserve">. Metrics, the handling of</w:t>
      </w:r>
      <w:r>
        <w:t xml:space="preserve"> </w:t>
      </w:r>
      <w:r>
        <w:t xml:space="preserve">cases containing no spleen, the subgroup cut-points and a written prediction for the MRI rung were</w:t>
      </w:r>
      <w:r>
        <w:t xml:space="preserve"> </w:t>
      </w:r>
      <w:r>
        <w:t xml:space="preserve">fixed before any prediction existed; Dice is reported with a boundary metric and never accuracy</w:t>
      </w:r>
      <w:r>
        <w:t xml:space="preserve"> </w:t>
      </w:r>
      <w:r>
        <w:t xml:space="preserve">(4)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Internal median Dice was 0.9595 (95% CI 0.9367 to 0.9734) and fell to 0.8932 (0.8633 to</w:t>
      </w:r>
      <w:r>
        <w:t xml:space="preserve"> </w:t>
      </w:r>
      <w:r>
        <w:t xml:space="preserve">0.9108) on external CT, a difference of −0.0662 (−0.0996 to −0.0416). Performance was lowest where</w:t>
      </w:r>
      <w:r>
        <w:t xml:space="preserve"> </w:t>
      </w:r>
      <w:r>
        <w:t xml:space="preserve">the task matters most: enlarged spleens scored 0.7694 against 0.9114 for normal volumes. On MRI,</w:t>
      </w:r>
      <w:r>
        <w:t xml:space="preserve"> </w:t>
      </w:r>
      <w:r>
        <w:t xml:space="preserve">median Dice was 0.0152 (0.0000 to 0.0626), and the pipeline reported no error while returning a</w:t>
      </w:r>
      <w:r>
        <w:t xml:space="preserve"> </w:t>
      </w:r>
      <w:r>
        <w:t xml:space="preserve">file for all 60 cases, 20 of them empty. Replaying the trained plan’s normalisation located an</w:t>
      </w:r>
      <w:r>
        <w:t xml:space="preserve"> </w:t>
      </w:r>
      <w:r>
        <w:t xml:space="preserve">incompatibility present in every MRI case and no CT case: all 300 CT cases contain negative voxels</w:t>
      </w:r>
      <w:r>
        <w:t xml:space="preserve"> </w:t>
      </w:r>
      <w:r>
        <w:t xml:space="preserve">and 2.7% of voxels exceed the clip ceiling, while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MRI case contains a negative voxel and a</w:t>
      </w:r>
      <w:r>
        <w:t xml:space="preserve"> </w:t>
      </w:r>
      <w:r>
        <w:t xml:space="preserve">median 23.2% exceed it. A counterfactual arm that changed</w:t>
      </w:r>
      <w:r>
        <w:t xml:space="preserve"> </w:t>
      </w:r>
      <w:r>
        <w:rPr>
          <w:b/>
          <w:bCs/>
        </w:rPr>
        <w:t xml:space="preserve">only the input intensity scale</w:t>
      </w:r>
      <w:r>
        <w:t xml:space="preserve"> </w:t>
      </w:r>
      <w:r>
        <w:t xml:space="preserve">— same</w:t>
      </w:r>
      <w:r>
        <w:t xml:space="preserve"> </w:t>
      </w:r>
      <w:r>
        <w:t xml:space="preserve">checkpoint, same folds, no retraining — recovered median Dice to 0.3016 (0.1744 to 0.4048), a</w:t>
      </w:r>
      <w:r>
        <w:t xml:space="preserve"> </w:t>
      </w:r>
      <w:r>
        <w:t xml:space="preserve">difference of</w:t>
      </w:r>
      <w:r>
        <w:t xml:space="preserve"> </w:t>
      </w:r>
      <w:r>
        <w:rPr>
          <w:b/>
          <w:bCs/>
        </w:rPr>
        <w:t xml:space="preserve">+0.2864</w:t>
      </w:r>
      <w:r>
        <w:t xml:space="preserve"> </w:t>
      </w:r>
      <w:r>
        <w:t xml:space="preserve">(+0.1204 to +0.4048), while remaining</w:t>
      </w:r>
      <w:r>
        <w:t xml:space="preserve"> </w:t>
      </w:r>
      <w:r>
        <w:rPr>
          <w:b/>
          <w:bCs/>
        </w:rPr>
        <w:t xml:space="preserve">−0.5916</w:t>
      </w:r>
      <w:r>
        <w:t xml:space="preserve"> </w:t>
      </w:r>
      <w:r>
        <w:t xml:space="preserve">(−0.7259 to −0.4674)</w:t>
      </w:r>
      <w:r>
        <w:t xml:space="preserve"> </w:t>
      </w:r>
      <w:r>
        <w:t xml:space="preserve">below the external CT arm.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Both mechanisms are real and their sizes differ: of the collapse observed against the</w:t>
      </w:r>
      <w:r>
        <w:t xml:space="preserve"> </w:t>
      </w:r>
      <w:r>
        <w:t xml:space="preserve">internal arm, roughly 0.29 Dice is attributable to the preprocessing contract and roughly 0.59 to a</w:t>
      </w:r>
      <w:r>
        <w:t xml:space="preserve"> </w:t>
      </w:r>
      <w:r>
        <w:t xml:space="preserve">representation that does not transfer. The third rung is a</w:t>
      </w:r>
      <w:r>
        <w:t xml:space="preserve"> </w:t>
      </w:r>
      <w:r>
        <w:rPr>
          <w:b/>
          <w:bCs/>
        </w:rPr>
        <w:t xml:space="preserve">constructed</w:t>
      </w:r>
      <w:r>
        <w:t xml:space="preserve"> </w:t>
      </w:r>
      <w:r>
        <w:t xml:space="preserve">test — the plan named the</w:t>
      </w:r>
      <w:r>
        <w:t xml:space="preserve"> </w:t>
      </w:r>
      <w:r>
        <w:t xml:space="preserve">normalisation contract and predicted the collapse before inference ran — so it demonstrates that the</w:t>
      </w:r>
      <w:r>
        <w:t xml:space="preserve"> </w:t>
      </w:r>
      <w:r>
        <w:t xml:space="preserve">pipeline stays silent about a known incompatibility, not that the failure was discovered in unaided</w:t>
      </w:r>
      <w:r>
        <w:t xml:space="preserve"> </w:t>
      </w:r>
      <w:r>
        <w:t xml:space="preserve">work. Within that</w:t>
      </w:r>
      <w:r>
        <w:t xml:space="preserve"> </w:t>
      </w:r>
      <w:r>
        <w:t xml:space="preserve">limit it shows a defect class worth tooling against — one that produces a number rather than an</w:t>
      </w:r>
      <w:r>
        <w:t xml:space="preserve"> </w:t>
      </w:r>
      <w:r>
        <w:t xml:space="preserve">error, and that the toolkit’s own profiler had already flagged at Minor severity in a directory no</w:t>
      </w:r>
      <w:r>
        <w:t xml:space="preserve"> </w:t>
      </w:r>
      <w:r>
        <w:t xml:space="preserve">later step reads. Generalisation beyond this example is a hypothesis, not a result.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practical question behind agentic research tooling is not whether a clinician can obtain a</w:t>
      </w:r>
      <w:r>
        <w:t xml:space="preserve"> </w:t>
      </w:r>
      <w:r>
        <w:t xml:space="preserve">trained model. They can. It is whether the study that results is defensible, and where it stops</w:t>
      </w:r>
      <w:r>
        <w:t xml:space="preserve"> </w:t>
      </w:r>
      <w:r>
        <w:t xml:space="preserve">being so. Answering that requires running the whole path, including the tedious parts, and</w:t>
      </w:r>
      <w:r>
        <w:t xml:space="preserve"> </w:t>
      </w:r>
      <w:r>
        <w:t xml:space="preserve">recording the failures rather than the finished artifact.</w:t>
      </w:r>
    </w:p>
    <w:p>
      <w:pPr>
        <w:pStyle w:val="BodyText"/>
      </w:pPr>
      <w:r>
        <w:rPr>
          <w:b/>
          <w:bCs/>
        </w:rPr>
        <w:t xml:space="preserve">What kind of evidence this is.</w:t>
      </w:r>
      <w:r>
        <w:t xml:space="preserve"> </w:t>
      </w:r>
      <w:r>
        <w:t xml:space="preserve">Rungs 1 and 2 are ordinary internal and external validation and</w:t>
      </w:r>
      <w:r>
        <w:t xml:space="preserve"> </w:t>
      </w:r>
      <w:r>
        <w:t xml:space="preserve">are reported as such. Rung 3 is different and should be read differently: while writing the</w:t>
      </w:r>
      <w:r>
        <w:t xml:space="preserve"> </w:t>
      </w:r>
      <w:r>
        <w:t xml:space="preserve">evaluation plan we inspected the trained configuration, found that it carries a CT intensity</w:t>
      </w:r>
      <w:r>
        <w:t xml:space="preserve"> </w:t>
      </w:r>
      <w:r>
        <w:t xml:space="preserve">transform, and</w:t>
      </w:r>
      <w:r>
        <w:t xml:space="preserve"> </w:t>
      </w:r>
      <w:r>
        <w:rPr>
          <w:b/>
          <w:bCs/>
        </w:rPr>
        <w:t xml:space="preserve">predicted in writing that MRI performance would collapse for that reason</w:t>
      </w:r>
      <w:r>
        <w:t xml:space="preserve">. We then</w:t>
      </w:r>
      <w:r>
        <w:t xml:space="preserve"> </w:t>
      </w:r>
      <w:r>
        <w:t xml:space="preserve">ran the arm anyway. That makes rung 3 a</w:t>
      </w:r>
      <w:r>
        <w:t xml:space="preserve"> </w:t>
      </w:r>
      <w:r>
        <w:rPr>
          <w:b/>
          <w:bCs/>
        </w:rPr>
        <w:t xml:space="preserve">constructed</w:t>
      </w:r>
      <w:r>
        <w:t xml:space="preserve"> </w:t>
      </w:r>
      <w:r>
        <w:t xml:space="preserve">demonstration — a stress test of whether the</w:t>
      </w:r>
      <w:r>
        <w:t xml:space="preserve"> </w:t>
      </w:r>
      <w:r>
        <w:t xml:space="preserve">pipeline says anything when handed an input it cannot process — and not a discovery made in the</w:t>
      </w:r>
      <w:r>
        <w:t xml:space="preserve"> </w:t>
      </w:r>
      <w:r>
        <w:t xml:space="preserve">course of unaided work. Read as a discovery it would overclaim; read as a constructed test it</w:t>
      </w:r>
      <w:r>
        <w:t xml:space="preserve"> </w:t>
      </w:r>
      <w:r>
        <w:t xml:space="preserve">answers a narrow question cleanly, which is: given a known incompatibility, does anything in the</w:t>
      </w:r>
      <w:r>
        <w:t xml:space="preserve"> </w:t>
      </w:r>
      <w:r>
        <w:t xml:space="preserve">workflow surface it? The answer is no, and the run exits 0.</w:t>
      </w:r>
    </w:p>
    <w:p>
      <w:pPr>
        <w:pStyle w:val="BodyText"/>
      </w:pPr>
      <w:r>
        <w:t xml:space="preserve">The failure modes this literature documents most often are about</w:t>
      </w:r>
      <w:r>
        <w:t xml:space="preserve"> </w:t>
      </w:r>
      <w:r>
        <w:rPr>
          <w:i/>
          <w:iCs/>
        </w:rPr>
        <w:t xml:space="preserve">what the model learned</w:t>
      </w:r>
      <w:r>
        <w:t xml:space="preserve">: a</w:t>
      </w:r>
      <w:r>
        <w:t xml:space="preserve"> </w:t>
      </w:r>
      <w:r>
        <w:t xml:space="preserve">pneumonia classifier that encoded the scanner rather than the disease</w:t>
      </w:r>
      <w:r>
        <w:t xml:space="preserve"> </w:t>
      </w:r>
      <w:r>
        <w:t xml:space="preserve">(5)</w:t>
      </w:r>
      <w:r>
        <w:t xml:space="preserve">,</w:t>
      </w:r>
      <w:r>
        <w:t xml:space="preserve"> </w:t>
      </w:r>
      <w:r>
        <w:t xml:space="preserve">a hip-fracture model driven by healthcare process variables</w:t>
      </w:r>
      <w:r>
        <w:t xml:space="preserve"> </w:t>
      </w:r>
      <w:r>
        <w:t xml:space="preserve">(6)</w:t>
      </w:r>
      <w:r>
        <w:t xml:space="preserve">. The</w:t>
      </w:r>
      <w:r>
        <w:t xml:space="preserve"> </w:t>
      </w:r>
      <w:r>
        <w:t xml:space="preserve">methodological guidance that follows from them concerns cohort design and external testing</w:t>
      </w:r>
      <w:r>
        <w:t xml:space="preserve"> </w:t>
      </w:r>
      <w:r>
        <w:t xml:space="preserve">(7)</w:t>
      </w:r>
      <w:r>
        <w:t xml:space="preserve">. The failure recorded here is a different species. It is not about what the</w:t>
      </w:r>
      <w:r>
        <w:t xml:space="preserve"> </w:t>
      </w:r>
      <w:r>
        <w:t xml:space="preserve">model learned; it is about what the pipeline silently did to the images before the model ever saw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We chose 3-D spleen segmentation because it admits a clean ladder of increasing distributional</w:t>
      </w:r>
      <w:r>
        <w:t xml:space="preserve"> </w:t>
      </w:r>
      <w:r>
        <w:t xml:space="preserve">distance with ground truth at every step, and because both datasets download without registration.</w:t>
      </w:r>
      <w:r>
        <w:t xml:space="preserve"> </w:t>
      </w:r>
      <w:r>
        <w:t xml:space="preserve">Access, not narrative quality, decided the choice. ACDC to M&amp;Ms is the better domain-shift pair and</w:t>
      </w:r>
      <w:r>
        <w:t xml:space="preserve"> </w:t>
      </w:r>
      <w:r>
        <w:t xml:space="preserve">sits behind registration walls; a demonstration about reproducibility cannot open with a step the</w:t>
      </w:r>
      <w:r>
        <w:t xml:space="preserve"> </w:t>
      </w:r>
      <w:r>
        <w:t xml:space="preserve">reader is unable to take.</w:t>
      </w:r>
    </w:p>
    <w:p>
      <w:pPr>
        <w:pStyle w:val="BodyText"/>
      </w:pPr>
      <w:r>
        <w:t xml:space="preserve">Two properties of the setup have to be stated before any result is read. First, nnU-Net won the 2018</w:t>
      </w:r>
      <w:r>
        <w:t xml:space="preserve"> </w:t>
      </w:r>
      <w:r>
        <w:t xml:space="preserve">Medical Segmentation Decathlon and its self-configuring heuristics were developed against that</w:t>
      </w:r>
      <w:r>
        <w:t xml:space="preserve"> </w:t>
      </w:r>
      <w:r>
        <w:t xml:space="preserve">benchmark family</w:t>
      </w:r>
      <w:r>
        <w:t xml:space="preserve"> </w:t>
      </w:r>
      <w:r>
        <w:t xml:space="preserve">(1,2)</w:t>
      </w:r>
      <w:r>
        <w:t xml:space="preserve">, so the internal rung on MSD Task09</w:t>
      </w:r>
      <w:r>
        <w:t xml:space="preserve"> </w:t>
      </w:r>
      <w:r>
        <w:t xml:space="preserve">demonstrates that the pipeline runs and does not independently evidence the method. AMOS22 postdates</w:t>
      </w:r>
      <w:r>
        <w:t xml:space="preserve"> </w:t>
      </w:r>
      <w:r>
        <w:t xml:space="preserve">nnU-Net, so the external rungs carry the evidence. Second, a clinician sourcing a model from a</w:t>
      </w:r>
      <w:r>
        <w:t xml:space="preserve"> </w:t>
      </w:r>
      <w:r>
        <w:t xml:space="preserve">public repository checks its licence and its citation count, and neither of those surfaces the first</w:t>
      </w:r>
      <w:r>
        <w:t xml:space="preserve"> </w:t>
      </w:r>
      <w:r>
        <w:t xml:space="preserve">point. That benchmark-provenance hazard is a known one in this field: competition rankings are</w:t>
      </w:r>
      <w:r>
        <w:t xml:space="preserve"> </w:t>
      </w:r>
      <w:r>
        <w:t xml:space="preserve">sensitive to design choices that a leaderboard position does not expose</w:t>
      </w:r>
      <w:r>
        <w:t xml:space="preserve"> </w:t>
      </w:r>
      <w:r>
        <w:t xml:space="preserve">(8)</w:t>
      </w:r>
      <w:r>
        <w:t xml:space="preserve">,</w:t>
      </w:r>
      <w:r>
        <w:t xml:space="preserve"> </w:t>
      </w:r>
      <w:r>
        <w:t xml:space="preserve">and nnU-Net’s own authors have since argued for more rigorous validation practice around it</w:t>
      </w:r>
      <w:r>
        <w:t xml:space="preserve"> </w:t>
      </w:r>
      <w:r>
        <w:t xml:space="preserve">(9)</w:t>
      </w:r>
      <w:r>
        <w:t xml:space="preserve">.</w:t>
      </w:r>
    </w:p>
    <w:bookmarkEnd w:id="10"/>
    <w:bookmarkStart w:id="11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MSD Task09 Spleen (CC-BY-SA 4.0)</w:t>
      </w:r>
      <w:r>
        <w:t xml:space="preserve"> </w:t>
      </w:r>
      <w:r>
        <w:t xml:space="preserve">(2)</w:t>
      </w:r>
      <w:r>
        <w:t xml:space="preserve">, 41 labelled cases of 61. AMOS22</w:t>
      </w:r>
      <w:r>
        <w:t xml:space="preserve"> </w:t>
      </w:r>
      <w:r>
        <w:t xml:space="preserve">(CC BY 4.0)</w:t>
      </w:r>
      <w:r>
        <w:t xml:space="preserve"> </w:t>
      </w:r>
      <w:r>
        <w:t xml:space="preserve">(3)</w:t>
      </w:r>
      <w:r>
        <w:t xml:space="preserve">, 300 labelled CT and 60 labelled MRI of 600, downloaded as the Zenodo</w:t>
      </w:r>
      <w:r>
        <w:t xml:space="preserve"> </w:t>
      </w:r>
      <w:r>
        <w:t xml:space="preserve">data record doi:10.5281/zenodo.7262581, which is what carries the licence. Dataset facts were read from the</w:t>
      </w:r>
      <w:r>
        <w:t xml:space="preserve"> </w:t>
      </w:r>
      <w:r>
        <w:t xml:space="preserve">shipped files rather than from the accompanying prose: the spleen index is 1 in both label sets, the</w:t>
      </w:r>
      <w:r>
        <w:t xml:space="preserve"> </w:t>
      </w:r>
      <w:r>
        <w:t xml:space="preserve">CT label set runs 0 to 15 and the MRI set 0 to 13, and the readme’s modality rule is off by one</w:t>
      </w:r>
      <w:r>
        <w:t xml:space="preserve"> </w:t>
      </w:r>
      <w:r>
        <w:t xml:space="preserve">against a contiguous identifier space. Cohort characteristics by arm are in Table 1.</w:t>
      </w:r>
    </w:p>
    <w:p>
      <w:pPr>
        <w:pStyle w:val="BodyText"/>
      </w:pPr>
      <w:r>
        <w:rPr>
          <w:b/>
          <w:bCs/>
        </w:rPr>
        <w:t xml:space="preserve">Split and preprocessing.</w:t>
      </w:r>
      <w:r>
        <w:t xml:space="preserve"> </w:t>
      </w:r>
      <w:r>
        <w:t xml:space="preserve">A patient-level split with seed 42 assigned 32 cases to training and 9</w:t>
      </w:r>
      <w:r>
        <w:t xml:space="preserve"> </w:t>
      </w:r>
      <w:r>
        <w:t xml:space="preserve">to the held-out set. Disjointness was proved by set arithmetic rather than asserted. nnU-Net fits</w:t>
      </w:r>
      <w:r>
        <w:t xml:space="preserve"> </w:t>
      </w:r>
      <w:r>
        <w:t xml:space="preserve">its resampling target and its intensity statistics from whatever occupies its raw-data directory, so</w:t>
      </w:r>
      <w:r>
        <w:t xml:space="preserve"> </w:t>
      </w:r>
      <w:r>
        <w:t xml:space="preserve">the fit scope is decided by which files are copied there and not by any flag. Held-out cases were</w:t>
      </w:r>
      <w:r>
        <w:t xml:space="preserve"> </w:t>
      </w:r>
      <w:r>
        <w:t xml:space="preserve">therefore physically excluded from that directory, and the dataset builder aborts if one appears.</w:t>
      </w:r>
      <w:r>
        <w:t xml:space="preserve"> </w:t>
      </w:r>
      <w:r>
        <w:t xml:space="preserve">The counterfactual, in which every case is present and the split is applied afterwards, is retained</w:t>
      </w:r>
      <w:r>
        <w:t xml:space="preserve"> </w:t>
      </w:r>
      <w:r>
        <w:t xml:space="preserve">as a declared manifest and fires three major preprocessing-leakage findings under the same gate that</w:t>
      </w:r>
      <w:r>
        <w:t xml:space="preserve"> </w:t>
      </w:r>
      <w:r>
        <w:t xml:space="preserve">passes the real one.</w:t>
      </w:r>
    </w:p>
    <w:p>
      <w:pPr>
        <w:pStyle w:val="BodyText"/>
      </w:pPr>
      <w:r>
        <w:rPr>
          <w:b/>
          <w:bCs/>
        </w:rPr>
        <w:t xml:space="preserve">Training and inference.</w:t>
      </w:r>
      <w:r>
        <w:t xml:space="preserve"> </w:t>
      </w:r>
      <w:r>
        <w:t xml:space="preserve">nnU-Net v2</w:t>
      </w:r>
      <w:r>
        <w:t xml:space="preserve"> </w:t>
      </w:r>
      <w:r>
        <w:t xml:space="preserve">(1)</w:t>
      </w:r>
      <w:r>
        <w:t xml:space="preserve">, configuration</w:t>
      </w:r>
      <w:r>
        <w:t xml:space="preserve"> </w:t>
      </w:r>
      <w:r>
        <w:rPr>
          <w:rStyle w:val="VerbatimChar"/>
        </w:rPr>
        <w:t xml:space="preserve">3d_fullres</w:t>
      </w:r>
      <w:r>
        <w:t xml:space="preserve">, five folds,</w:t>
      </w:r>
      <w:r>
        <w:t xml:space="preserve"> </w:t>
      </w:r>
      <w:r>
        <w:t xml:space="preserve">100 epochs per fold. Measured epoch time of 360 to 417 s makes nnU-Net’s default 1000 epochs</w:t>
      </w:r>
      <w:r>
        <w:t xml:space="preserve"> </w:t>
      </w:r>
      <w:r>
        <w:t xml:space="preserve">approximately 21 days for five folds on the available hardware, so the reduced schedule follows from</w:t>
      </w:r>
      <w:r>
        <w:t xml:space="preserve"> </w:t>
      </w:r>
      <w:r>
        <w:t xml:space="preserve">arithmetic and is disclosed wherever a number from this model appears. The epoch time, the derived</w:t>
      </w:r>
      <w:r>
        <w:t xml:space="preserve"> </w:t>
      </w:r>
      <w:r>
        <w:t xml:space="preserve">21-day figure and the approximately 50 GPU-hours were read from the training job logs on the cluster;</w:t>
      </w:r>
      <w:r>
        <w:t xml:space="preserve"> </w:t>
      </w:r>
      <w:r>
        <w:t xml:space="preserve">those logs are</w:t>
      </w:r>
      <w:r>
        <w:t xml:space="preserve"> </w:t>
      </w:r>
      <w:r>
        <w:rPr>
          <w:b/>
          <w:bCs/>
        </w:rPr>
        <w:t xml:space="preserve">not shipped</w:t>
      </w:r>
      <w:r>
        <w:t xml:space="preserve"> </w:t>
      </w:r>
      <w:r>
        <w:t xml:space="preserve">with this demo, so unlike every other number here they cannot be</w:t>
      </w:r>
      <w:r>
        <w:t xml:space="preserve"> </w:t>
      </w:r>
      <w:r>
        <w:t xml:space="preserve">re-derived from the repository. Five folds were retained so</w:t>
      </w:r>
      <w:r>
        <w:t xml:space="preserve"> </w:t>
      </w:r>
      <w:r>
        <w:t xml:space="preserve">that the deviation from default remains a single change. Inference used the five-fold ensemble at</w:t>
      </w:r>
      <w:r>
        <w:t xml:space="preserve"> </w:t>
      </w:r>
      <w:r>
        <w:t xml:space="preserve">nnU-Net’s default settings with mirroring test-time augmentation enabled, on all three arms.</w:t>
      </w:r>
    </w:p>
    <w:p>
      <w:pPr>
        <w:pStyle w:val="BodyText"/>
      </w:pPr>
      <w:r>
        <w:rPr>
          <w:b/>
          <w:bCs/>
        </w:rPr>
        <w:t xml:space="preserve">Evaluation.</w:t>
      </w:r>
      <w:r>
        <w:t xml:space="preserve"> </w:t>
      </w:r>
      <w:r>
        <w:t xml:space="preserve">Metrics were fixed before any prediction existed and follow Metrics Reloaded</w:t>
      </w:r>
      <w:r>
        <w:t xml:space="preserve"> </w:t>
      </w:r>
      <w:r>
        <w:t xml:space="preserve">(4)</w:t>
      </w:r>
      <w:r>
        <w:t xml:space="preserve">: Dice is reported with HD95, since a boundary metric is required alongside</w:t>
      </w:r>
      <w:r>
        <w:t xml:space="preserve"> </w:t>
      </w:r>
      <w:r>
        <w:t xml:space="preserve">an overlap metric, and accuracy is never reported because the target occupies 0.2 to 0.4% of the</w:t>
      </w:r>
      <w:r>
        <w:t xml:space="preserve"> </w:t>
      </w:r>
      <w:r>
        <w:t xml:space="preserve">volume. HD95 was computed with the supplied voxel spacing, which matters here because the volumes</w:t>
      </w:r>
      <w:r>
        <w:t xml:space="preserve"> </w:t>
      </w:r>
      <w:r>
        <w:t xml:space="preserve">are anisotropic.</w:t>
      </w:r>
    </w:p>
    <w:p>
      <w:pPr>
        <w:pStyle w:val="BodyText"/>
      </w:pPr>
      <w:r>
        <w:rPr>
          <w:b/>
          <w:bCs/>
        </w:rPr>
        <w:t xml:space="preserve">HD95 has a smaller denominator than Dice, and the difference is not random.</w:t>
      </w:r>
      <w:r>
        <w:t xml:space="preserve"> </w:t>
      </w:r>
      <w:r>
        <w:t xml:space="preserve">A non-empty</w:t>
      </w:r>
      <w:r>
        <w:t xml:space="preserve"> </w:t>
      </w:r>
      <w:r>
        <w:t xml:space="preserve">reference with an empty prediction has a Dice of 0 but no predicted surface, so no symmetric surface</w:t>
      </w:r>
      <w:r>
        <w:t xml:space="preserve"> </w:t>
      </w:r>
      <w:r>
        <w:t xml:space="preserve">distance exists for it. The case is left blank rather than imputed, because the usual imputation —</w:t>
      </w:r>
      <w:r>
        <w:t xml:space="preserve"> </w:t>
      </w:r>
      <w:r>
        <w:t xml:space="preserve">the image diagonal — is a made-up number. Those are the cases that failed hardest, so an HD95 median</w:t>
      </w:r>
      <w:r>
        <w:t xml:space="preserve"> </w:t>
      </w:r>
      <w:r>
        <w:t xml:space="preserve">quoted against the Dice denominator is optimistic by exactly the worst cases, and the gap widens</w:t>
      </w:r>
      <w:r>
        <w:t xml:space="preserve"> </w:t>
      </w:r>
      <w:r>
        <w:t xml:space="preserve">with the failure rate: HD95 exists for 9 of 9 internal cases, 270 of 298 scored external CT cases,</w:t>
      </w:r>
      <w:r>
        <w:t xml:space="preserve"> </w:t>
      </w:r>
      <w:r>
        <w:t xml:space="preserve">and 40 of 59 scored MRI cases. Every HD95 below is therefore reported with its own n (Table 2), and</w:t>
      </w:r>
      <w:r>
        <w:t xml:space="preserve"> </w:t>
      </w:r>
      <w:r>
        <w:t xml:space="preserve">the MRI value in particular is a statistic over the 40 cases that produced a surface at all. HD95</w:t>
      </w:r>
      <w:r>
        <w:t xml:space="preserve"> </w:t>
      </w:r>
      <w:r>
        <w:t xml:space="preserve">here is therefore a</w:t>
      </w:r>
      <w:r>
        <w:t xml:space="preserve"> </w:t>
      </w:r>
      <w:r>
        <w:rPr>
          <w:b/>
          <w:bCs/>
        </w:rPr>
        <w:t xml:space="preserve">success-conditioned estimand</w:t>
      </w:r>
      <w:r>
        <w:t xml:space="preserve">: it describes boundary agreement among the</w:t>
      </w:r>
      <w:r>
        <w:t xml:space="preserve"> </w:t>
      </w:r>
      <w:r>
        <w:t xml:space="preserve">cases that produced a boundary, and it should be read together with the empty-prediction count for</w:t>
      </w:r>
      <w:r>
        <w:t xml:space="preserve"> </w:t>
      </w:r>
      <w:r>
        <w:t xml:space="preserve">the same arm rather than as that arm’s boundary performance.</w:t>
      </w:r>
    </w:p>
    <w:p>
      <w:pPr>
        <w:pStyle w:val="BodyText"/>
      </w:pPr>
      <w:r>
        <w:rPr>
          <w:b/>
          <w:bCs/>
        </w:rPr>
        <w:t xml:space="preserve">The primary summary is the median, and that is a choice with consequences.</w:t>
      </w:r>
      <w:r>
        <w:t xml:space="preserve"> </w:t>
      </w:r>
      <w:r>
        <w:t xml:space="preserve">On the external CT</w:t>
      </w:r>
      <w:r>
        <w:t xml:space="preserve"> </w:t>
      </w:r>
      <w:r>
        <w:t xml:space="preserve">arm the mean Dice is 0.7116 against a median of 0.8932, so which one leads changes the apparent</w:t>
      </w:r>
      <w:r>
        <w:t xml:space="preserve"> </w:t>
      </w:r>
      <w:r>
        <w:t xml:space="preserve">result. The estimand here is</w:t>
      </w:r>
      <w:r>
        <w:t xml:space="preserve"> </w:t>
      </w:r>
      <w:r>
        <w:rPr>
          <w:i/>
          <w:iCs/>
        </w:rPr>
        <w:t xml:space="preserve">typical-case</w:t>
      </w:r>
      <w:r>
        <w:t xml:space="preserve"> </w:t>
      </w:r>
      <w:r>
        <w:t xml:space="preserve">performance — what the model does on a case drawn from</w:t>
      </w:r>
      <w:r>
        <w:t xml:space="preserve"> </w:t>
      </w:r>
      <w:r>
        <w:t xml:space="preserve">the cohort — for which the median is the appropriate summary and is resistant to the 28 empty</w:t>
      </w:r>
      <w:r>
        <w:t xml:space="preserve"> </w:t>
      </w:r>
      <w:r>
        <w:t xml:space="preserve">predictions. The mean is the</w:t>
      </w:r>
      <w:r>
        <w:t xml:space="preserve"> </w:t>
      </w:r>
      <w:r>
        <w:rPr>
          <w:i/>
          <w:iCs/>
        </w:rPr>
        <w:t xml:space="preserve">expected per-case</w:t>
      </w:r>
      <w:r>
        <w:t xml:space="preserve"> </w:t>
      </w:r>
      <w:r>
        <w:t xml:space="preserve">performance and absorbs those failures; it is the</w:t>
      </w:r>
      <w:r>
        <w:t xml:space="preserve"> </w:t>
      </w:r>
      <w:r>
        <w:t xml:space="preserve">better summary for anyone budgeting total error. Both are reported side by side in Table 2 for</w:t>
      </w:r>
      <w:r>
        <w:t xml:space="preserve"> </w:t>
      </w:r>
      <w:r>
        <w:t xml:space="preserve">exactly that reason, and the empty-prediction count is reported with them so the median is never</w:t>
      </w:r>
      <w:r>
        <w:t xml:space="preserve"> </w:t>
      </w:r>
      <w:r>
        <w:t xml:space="preserve">read as if the failures had not happened.</w:t>
      </w:r>
    </w:p>
    <w:p>
      <w:pPr>
        <w:pStyle w:val="BodyText"/>
      </w:pPr>
      <w:r>
        <w:rPr>
          <w:b/>
          <w:bCs/>
        </w:rPr>
        <w:t xml:space="preserve">Uncertainty.</w:t>
      </w:r>
      <w:r>
        <w:t xml:space="preserve"> </w:t>
      </w:r>
      <w:r>
        <w:t xml:space="preserve">Every median is reported with a percentile bootstrap 95% interval over cases —</w:t>
      </w:r>
      <w:r>
        <w:t xml:space="preserve"> </w:t>
      </w:r>
      <w:r>
        <w:rPr>
          <w:b/>
          <w:bCs/>
        </w:rPr>
        <w:t xml:space="preserve">10,000 resamples, seed 20260725</w:t>
      </w:r>
      <w:r>
        <w:t xml:space="preserve">, seeded per (arm, metric) so that an arm’s interval does not</w:t>
      </w:r>
      <w:r>
        <w:t xml:space="preserve"> </w:t>
      </w:r>
      <w:r>
        <w:t xml:space="preserve">depend on how many other arms were bootstrapped before it. Between-arm differences carry their own</w:t>
      </w:r>
      <w:r>
        <w:t xml:space="preserve"> </w:t>
      </w:r>
      <w:r>
        <w:t xml:space="preserve">interval: a difference of two separately estimated medians is not an inferential quantity on its</w:t>
      </w:r>
      <w:r>
        <w:t xml:space="preserve"> </w:t>
      </w:r>
      <w:r>
        <w:t xml:space="preserve">own, and the internal arm’s n = 9 contributes most of the uncertainty, so each Δ-Dice is a bootstrap</w:t>
      </w:r>
      <w:r>
        <w:t xml:space="preserve"> </w:t>
      </w:r>
      <w:r>
        <w:t xml:space="preserve">interval for the difference in population medians with both arms resampled independently at the case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Three of the 360 labelled AMOS cases contain no spleen voxel. Dice is undefined on</w:t>
      </w:r>
      <w:r>
        <w:t xml:space="preserve"> </w:t>
      </w:r>
      <w:r>
        <w:t xml:space="preserve">an empty reference, so those cases were excluded from the metric distributions, which fixes the</w:t>
      </w:r>
      <w:r>
        <w:t xml:space="preserve"> </w:t>
      </w:r>
      <w:r>
        <w:t xml:space="preserve">denominators at 298 of 300 and 59 of 60, and were reported separately with their predicted volume so</w:t>
      </w:r>
      <w:r>
        <w:t xml:space="preserve"> </w:t>
      </w:r>
      <w:r>
        <w:t xml:space="preserve">that a hallucinated organ appears on its own line. Subgroup cut-points, at 100 and 250 mL of spleen</w:t>
      </w:r>
      <w:r>
        <w:t xml:space="preserve"> </w:t>
      </w:r>
      <w:r>
        <w:t xml:space="preserve">volume and 2 and 5 mm of slice thickness, were fixed in advance and are identical across arms; a</w:t>
      </w:r>
      <w:r>
        <w:t xml:space="preserve"> </w:t>
      </w:r>
      <w:r>
        <w:t xml:space="preserve">per-arm quantile would have made the arms non-comparable. Reporting follows CLAIM 2024</w:t>
      </w:r>
      <w:r>
        <w:t xml:space="preserve"> </w:t>
      </w:r>
      <w:r>
        <w:t xml:space="preserve">(10,11)</w:t>
      </w:r>
      <w:r>
        <w:t xml:space="preserve">, with TRIPOD+AI</w:t>
      </w:r>
      <w:r>
        <w:t xml:space="preserve"> </w:t>
      </w:r>
      <w:r>
        <w:t xml:space="preserve">(12)</w:t>
      </w:r>
      <w:r>
        <w:t xml:space="preserve"> </w:t>
      </w:r>
      <w:r>
        <w:t xml:space="preserve">consulted for the</w:t>
      </w:r>
      <w:r>
        <w:t xml:space="preserve"> </w:t>
      </w:r>
      <w:r>
        <w:t xml:space="preserve">prediction-model items.</w:t>
      </w:r>
    </w:p>
    <w:p>
      <w:pPr>
        <w:pStyle w:val="BodyText"/>
      </w:pPr>
      <w:r>
        <w:rPr>
          <w:b/>
          <w:bCs/>
        </w:rPr>
        <w:t xml:space="preserve">Provenance of the plan, stated precisely.</w:t>
      </w:r>
      <w:r>
        <w:t xml:space="preserve"> </w:t>
      </w:r>
      <w:r>
        <w:rPr>
          <w:rStyle w:val="VerbatimChar"/>
        </w:rPr>
        <w:t xml:space="preserve">EVALUATION_PLAN.md</w:t>
      </w:r>
      <w:r>
        <w:t xml:space="preserve"> </w:t>
      </w:r>
      <w:r>
        <w:t xml:space="preserve">was written before inference was</w:t>
      </w:r>
      <w:r>
        <w:t xml:space="preserve"> </w:t>
      </w:r>
      <w:r>
        <w:t xml:space="preserve">run and is shipped unedited, but</w:t>
      </w:r>
      <w:r>
        <w:t xml:space="preserve"> </w:t>
      </w:r>
      <w:r>
        <w:rPr>
          <w:b/>
          <w:bCs/>
        </w:rPr>
        <w:t xml:space="preserve">this repository cannot prove that ordering</w:t>
      </w:r>
      <w:r>
        <w:t xml:space="preserve">: the plan and the</w:t>
      </w:r>
      <w:r>
        <w:t xml:space="preserve"> </w:t>
      </w:r>
      <w:r>
        <w:t xml:space="preserve">rung-3 per-case results first appear in the same commit, because the demo was committed in one</w:t>
      </w:r>
      <w:r>
        <w:t xml:space="preserve"> </w:t>
      </w:r>
      <w:r>
        <w:t xml:space="preserve">piece. A reader should treat the chronology as documented by the authors rather than as</w:t>
      </w:r>
      <w:r>
        <w:t xml:space="preserve"> </w:t>
      </w:r>
      <w:r>
        <w:t xml:space="preserve">independently verified. What the repository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carry independently is the profiler’s own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qc/amos22_dataset_profile_spleen.json</w:t>
      </w:r>
      <w:r>
        <w:t xml:space="preserve">), which contains the</w:t>
      </w:r>
      <w:r>
        <w:t xml:space="preserve"> </w:t>
      </w:r>
      <w:r>
        <w:rPr>
          <w:rStyle w:val="VerbatimChar"/>
        </w:rPr>
        <w:t xml:space="preserve">INTENSITY_SCALE_INCONSISTENT</w:t>
      </w:r>
      <w:r>
        <w:t xml:space="preserve"> </w:t>
      </w:r>
      <w:r>
        <w:t xml:space="preserve">claim</w:t>
      </w:r>
      <w:r>
        <w:t xml:space="preserve"> </w:t>
      </w:r>
      <w:r>
        <w:t xml:space="preserve">and its Minor severity as machine-readable fields.</w:t>
      </w:r>
    </w:p>
    <w:p>
      <w:pPr>
        <w:pStyle w:val="BodyText"/>
      </w:pPr>
      <w:r>
        <w:rPr>
          <w:b/>
          <w:bCs/>
        </w:rPr>
        <w:t xml:space="preserve">The counterfactual arm (rung 3b).</w:t>
      </w:r>
      <w:r>
        <w:t xml:space="preserve"> </w:t>
      </w:r>
      <w:r>
        <w:t xml:space="preserve">Measuring what the normaliser does to an image does not show</w:t>
      </w:r>
      <w:r>
        <w:t xml:space="preserve"> </w:t>
      </w:r>
      <w:r>
        <w:t xml:space="preserve">that it caused the failure. Separating the preprocessing contract from a representation that does</w:t>
      </w:r>
      <w:r>
        <w:t xml:space="preserve"> </w:t>
      </w:r>
      <w:r>
        <w:t xml:space="preserve">not transfer needs one more arm, in which</w:t>
      </w:r>
      <w:r>
        <w:t xml:space="preserve"> </w:t>
      </w:r>
      <w:r>
        <w:rPr>
          <w:b/>
          <w:bCs/>
        </w:rPr>
        <w:t xml:space="preserve">exactly one thing changes: the intensity scale of the</w:t>
      </w:r>
      <w:r>
        <w:rPr>
          <w:b/>
          <w:bCs/>
        </w:rPr>
        <w:t xml:space="preserve"> </w:t>
      </w:r>
      <w:r>
        <w:rPr>
          <w:b/>
          <w:bCs/>
        </w:rPr>
        <w:t xml:space="preserve">input</w:t>
      </w:r>
      <w:r>
        <w:t xml:space="preserve">. Each MRI volume was affinely mapped so that the 0.5th-to-99.5th percentile range of its</w:t>
      </w:r>
      <w:r>
        <w:t xml:space="preserve"> </w:t>
      </w:r>
      <w:r>
        <w:t xml:space="preserve">in-body voxels (</w:t>
      </w:r>
      <w:r>
        <w:rPr>
          <w:rStyle w:val="VerbatimChar"/>
        </w:rPr>
        <w:t xml:space="preserve">&gt; 0</w:t>
      </w:r>
      <w:r>
        <w:t xml:space="preserve">; AMOS MRI air is exactly 0) lands on the CT fingerprint’s foreground window,</w:t>
      </w:r>
      <w:r>
        <w:t xml:space="preserve"> </w:t>
      </w:r>
      <w:r>
        <w:t xml:space="preserve">read from the trained</w:t>
      </w:r>
      <w:r>
        <w:t xml:space="preserve"> </w:t>
      </w:r>
      <w:r>
        <w:rPr>
          <w:rStyle w:val="VerbatimChar"/>
        </w:rPr>
        <w:t xml:space="preserve">plans.json</w:t>
      </w:r>
      <w:r>
        <w:t xml:space="preserve">. The normaliser is not bypassed or replaced — it is handed input</w:t>
      </w:r>
      <w:r>
        <w:t xml:space="preserve"> </w:t>
      </w:r>
      <w:r>
        <w:t xml:space="preserve">in the domain it assumes, so that on MRI it performs the operation it performs on CT. After the</w:t>
      </w:r>
      <w:r>
        <w:t xml:space="preserve"> </w:t>
      </w:r>
      <w:r>
        <w:t xml:space="preserve">mapping, the share of voxels clipped at the ceiling falls from a median of 23.2% to 0.4%. The</w:t>
      </w:r>
      <w:r>
        <w:t xml:space="preserve"> </w:t>
      </w:r>
      <w:r>
        <w:t xml:space="preserve">checkpoint, the five folds, the ensemble, the test-time augmentation, the ground truth and every</w:t>
      </w:r>
      <w:r>
        <w:t xml:space="preserve"> </w:t>
      </w:r>
      <w:r>
        <w:t xml:space="preserve">metric rule are unchanged, and nothing is retrained. The arm, its rationale, the rejected</w:t>
      </w:r>
      <w:r>
        <w:t xml:space="preserve"> </w:t>
      </w:r>
      <w:r>
        <w:t xml:space="preserve">alternatives and a</w:t>
      </w:r>
      <w:r>
        <w:t xml:space="preserve"> </w:t>
      </w:r>
      <w:r>
        <w:rPr>
          <w:b/>
          <w:bCs/>
        </w:rPr>
        <w:t xml:space="preserve">written prediction</w:t>
      </w:r>
      <w:r>
        <w:t xml:space="preserve"> </w:t>
      </w:r>
      <w:r>
        <w:t xml:space="preserve">were fixed in</w:t>
      </w:r>
      <w:r>
        <w:t xml:space="preserve"> </w:t>
      </w:r>
      <w:r>
        <w:rPr>
          <w:rStyle w:val="VerbatimChar"/>
        </w:rPr>
        <w:t xml:space="preserve">COUNTERFACTUAL_PLAN.md</w:t>
      </w:r>
      <w:r>
        <w:t xml:space="preserve"> </w:t>
      </w:r>
      <w:r>
        <w:t xml:space="preserve">before it was run.</w:t>
      </w:r>
    </w:p>
    <w:p>
      <w:pPr>
        <w:pStyle w:val="BodyText"/>
      </w:pPr>
      <w:r>
        <w:rPr>
          <w:b/>
          <w:bCs/>
        </w:rPr>
        <w:t xml:space="preserve">Normalisation evidence.</w:t>
      </w:r>
      <w:r>
        <w:t xml:space="preserve"> </w:t>
      </w:r>
      <w:r>
        <w:t xml:space="preserve">To characterise what the trained plan does to each arm, the normalisation recorded in the trained</w:t>
      </w:r>
      <w:r>
        <w:t xml:space="preserve"> </w:t>
      </w:r>
      <w:r>
        <w:rPr>
          <w:rStyle w:val="VerbatimChar"/>
        </w:rPr>
        <w:t xml:space="preserve">plans.json</w:t>
      </w:r>
      <w:r>
        <w:t xml:space="preserve"> </w:t>
      </w:r>
      <w:r>
        <w:t xml:space="preserve">was replayed over every image of</w:t>
      </w:r>
      <w:r>
        <w:t xml:space="preserve"> </w:t>
      </w:r>
      <w:r>
        <w:t xml:space="preserve">both external arms, measuring per case the presence of negative voxels, the fraction of voxels above</w:t>
      </w:r>
      <w:r>
        <w:t xml:space="preserve"> </w:t>
      </w:r>
      <w:r>
        <w:t xml:space="preserve">the clip ceiling, and the number of intensity levels surviving the clip.</w:t>
      </w:r>
    </w:p>
    <w:bookmarkEnd w:id="11"/>
    <w:bookmarkStart w:id="12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The ladder.</w:t>
      </w:r>
      <w:r>
        <w:t xml:space="preserve"> </w:t>
      </w:r>
      <w:r>
        <w:t xml:space="preserve">Internal median Dice was 0.9595 (95% CI 0.9367 to 0.9734), with HD95 1.78 mm over</w:t>
      </w:r>
      <w:r>
        <w:t xml:space="preserve"> </w:t>
      </w:r>
      <w:r>
        <w:t xml:space="preserve">all 9 cases. On external CT, 298 of 300 cases were scored, with median Dice 0.8932 (0.8633 to</w:t>
      </w:r>
      <w:r>
        <w:t xml:space="preserve"> </w:t>
      </w:r>
      <w:r>
        <w:t xml:space="preserve">0.9108) and HD95 5.68 mm over the 270 cases that produced a predicted surface; the difference in</w:t>
      </w:r>
      <w:r>
        <w:t xml:space="preserve"> </w:t>
      </w:r>
      <w:r>
        <w:t xml:space="preserve">population medians against the internal arm is −0.0662 (95% CI −0.0996 to −0.0416). On MRI, 59 of 60</w:t>
      </w:r>
      <w:r>
        <w:t xml:space="preserve"> </w:t>
      </w:r>
      <w:r>
        <w:t xml:space="preserve">cases were scored, with median Dice 0.0152 (0.0000 to 0.0626), HD95 70.05 mm over 40 of those 59,</w:t>
      </w:r>
      <w:r>
        <w:t xml:space="preserve"> </w:t>
      </w:r>
      <w:r>
        <w:t xml:space="preserve">and a difference of −0.9443 (−0.9715 to −0.8813). The counterfactual arm (rung 3b) scored 0.3016</w:t>
      </w:r>
      <w:r>
        <w:t xml:space="preserve"> </w:t>
      </w:r>
      <w:r>
        <w:t xml:space="preserve">(0.1744 to 0.4048) on the same 59 cases (Table 2). Figure 1 shows the per-case distributions behind</w:t>
      </w:r>
      <w:r>
        <w:t xml:space="preserve"> </w:t>
      </w:r>
      <w:r>
        <w:t xml:space="preserve">those medians and Figure 2 the across-cohort comparison with its intervals. For context,</w:t>
      </w:r>
      <w:r>
        <w:t xml:space="preserve"> </w:t>
      </w:r>
      <w:r>
        <w:t xml:space="preserve">nnU-Net’s own cross-validation over the 32 training cases gave fold Dice values of 0.8437, 0.9304,</w:t>
      </w:r>
      <w:r>
        <w:t xml:space="preserve"> </w:t>
      </w:r>
      <w:r>
        <w:t xml:space="preserve">0.9659, 0.9696 and 0.9507.</w:t>
      </w:r>
    </w:p>
    <w:p>
      <w:pPr>
        <w:pStyle w:val="BodyText"/>
      </w:pPr>
      <w:r>
        <w:rPr>
          <w:b/>
          <w:bCs/>
        </w:rPr>
        <w:t xml:space="preserve">What the headline hides.</w:t>
      </w:r>
      <w:r>
        <w:t xml:space="preserve"> </w:t>
      </w:r>
      <w:r>
        <w:t xml:space="preserve">Twenty-eight of the 300 external CT predictions were empty, as were 20</w:t>
      </w:r>
      <w:r>
        <w:t xml:space="preserve"> </w:t>
      </w:r>
      <w:r>
        <w:t xml:space="preserve">of the 60 MRI predictions. Both spleen-free CT cases received a non-empty prediction. Figure 1 makes the reason plain: the external CT arm carries a long tail to zero, and the MRI arm</w:t>
      </w:r>
      <w:r>
        <w:t xml:space="preserve"> </w:t>
      </w:r>
      <w:r>
        <w:t xml:space="preserve">has most of its mass at the floor with a handful of cases reaching 0.91. In the pre-specified</w:t>
      </w:r>
      <w:r>
        <w:t xml:space="preserve"> </w:t>
      </w:r>
      <w:r>
        <w:t xml:space="preserve">subgroups (Table 3, Figure 3), external CT performance was lowest on enlarged spleens above 250 mL,</w:t>
      </w:r>
      <w:r>
        <w:t xml:space="preserve"> </w:t>
      </w:r>
      <w:r>
        <w:t xml:space="preserve">at 0.7694 (n = 67), against 0.9114 for the normal 100 to 250 mL range (n = 194) and 0.8157 for</w:t>
      </w:r>
      <w:r>
        <w:t xml:space="preserve"> </w:t>
      </w:r>
      <w:r>
        <w:t xml:space="preserve">volumes below 100 mL (n = 37). Thick slices of 5 mm or more scored 0.8752 (n = 219) against 0.9292</w:t>
      </w:r>
      <w:r>
        <w:t xml:space="preserve"> </w:t>
      </w:r>
      <w:r>
        <w:t xml:space="preserve">for the 2 to 5 mm range (n = 74). The thin-slice stratum has n = 5 and the thick MRI stratum is</w:t>
      </w:r>
      <w:r>
        <w:t xml:space="preserve"> </w:t>
      </w:r>
      <w:r>
        <w:t xml:space="preserve">empty; both are descriptive and cannot support a stable contrast. These are stratum estimates with their own intervals, not a tested</w:t>
      </w:r>
      <w:r>
        <w:t xml:space="preserve"> </w:t>
      </w:r>
      <w:r>
        <w:t xml:space="preserve">interaction; no interaction test is reported and none is implied.</w:t>
      </w:r>
    </w:p>
    <w:p>
      <w:pPr>
        <w:pStyle w:val="BodyText"/>
      </w:pPr>
      <w:r>
        <w:rPr>
          <w:b/>
          <w:bCs/>
        </w:rPr>
        <w:t xml:space="preserve">A preprocessing incompatibility is present in every MRI case, and no CT case.</w:t>
      </w:r>
      <w:r>
        <w:t xml:space="preserve"> </w:t>
      </w:r>
      <w:r>
        <w:t xml:space="preserve">Two rival explanations were tested and rejected</w:t>
      </w:r>
      <w:r>
        <w:t xml:space="preserve"> </w:t>
      </w:r>
      <w:r>
        <w:t xml:space="preserve">before the result was accepted. The label index is correct: spleen is 1 in the MRI label set, and</w:t>
      </w:r>
      <w:r>
        <w:t xml:space="preserve"> </w:t>
      </w:r>
      <w:r>
        <w:t xml:space="preserve">the resulting reference volumes are physiological, with a median of 187.6 mL across the 59 scored</w:t>
      </w:r>
      <w:r>
        <w:t xml:space="preserve"> </w:t>
      </w:r>
      <w:r>
        <w:t xml:space="preserve">cases (Table 1; 186.8 mL if the target-free case is included). The images are genuinely MRI, with a minimum of 0 and no air floor.</w:t>
      </w:r>
    </w:p>
    <w:p>
      <w:pPr>
        <w:pStyle w:val="BodyText"/>
      </w:pPr>
      <w:r>
        <w:t xml:space="preserve">The trained plan applies</w:t>
      </w:r>
      <w:r>
        <w:t xml:space="preserve"> </w:t>
      </w:r>
      <w:r>
        <w:rPr>
          <w:rStyle w:val="VerbatimChar"/>
        </w:rPr>
        <w:t xml:space="preserve">CTNormalization</w:t>
      </w:r>
      <w:r>
        <w:t xml:space="preserve"> </w:t>
      </w:r>
      <w:r>
        <w:t xml:space="preserve">with the training fingerprint’s parameters, clipping to</w:t>
      </w:r>
      <w:r>
        <w:t xml:space="preserve"> </w:t>
      </w:r>
      <w:r>
        <w:t xml:space="preserve">[-38, 174] HU and z-scoring by mean 89.8 and SD 39.8. Replaying it over both arms separates them</w:t>
      </w:r>
      <w:r>
        <w:t xml:space="preserve"> </w:t>
      </w:r>
      <w:r>
        <w:t xml:space="preserve">cleanly (Table 4, Figure 4). All 300 CT cases contain negative voxels, a median of 2.7% of voxels</w:t>
      </w:r>
      <w:r>
        <w:t xml:space="preserve"> </w:t>
      </w:r>
      <w:r>
        <w:t xml:space="preserve">exceed the clip ceiling (range 1.0 to 6.9%), and 213 intensity levels survive. No MRI case contains</w:t>
      </w:r>
      <w:r>
        <w:t xml:space="preserve"> </w:t>
      </w:r>
      <w:r>
        <w:t xml:space="preserve">a negative voxel, a median of 23.2% of voxels exceed the ceiling (range 0.3 to 68.6%), and the</w:t>
      </w:r>
      <w:r>
        <w:t xml:space="preserve"> </w:t>
      </w:r>
      <w:r>
        <w:t xml:space="preserve">surviving levels fall to a median of 175 with a minimum of 2. Hounsfield units are defined by an air</w:t>
      </w:r>
      <w:r>
        <w:t xml:space="preserve"> </w:t>
      </w:r>
      <w:r>
        <w:t xml:space="preserve">floor near -1000, so a volume that never goes negative is not in that unit system, and the clip</w:t>
      </w:r>
      <w:r>
        <w:t xml:space="preserve"> </w:t>
      </w:r>
      <w:r>
        <w:t xml:space="preserve">window is not a soft-tissue window there. It is an arbitrary slice near the bottom of an</w:t>
      </w:r>
      <w:r>
        <w:t xml:space="preserve"> </w:t>
      </w:r>
      <w:r>
        <w:t xml:space="preserve">arbitrary-unit range. Case accounting for both source datasets, including every exclusion and the</w:t>
      </w:r>
      <w:r>
        <w:t xml:space="preserve"> </w:t>
      </w:r>
      <w:r>
        <w:t xml:space="preserve">three target-free cases, is in Figure 5.</w:t>
      </w:r>
    </w:p>
    <w:p>
      <w:pPr>
        <w:pStyle w:val="BodyText"/>
      </w:pPr>
      <w:r>
        <w:rPr>
          <w:b/>
          <w:bCs/>
        </w:rPr>
        <w:t xml:space="preserve">The counterfactual separates the two mechanisms, and both are real.</w:t>
      </w:r>
      <w:r>
        <w:t xml:space="preserve"> </w:t>
      </w:r>
      <w:r>
        <w:t xml:space="preserve">Rescaling the MRI into the</w:t>
      </w:r>
      <w:r>
        <w:t xml:space="preserve"> </w:t>
      </w:r>
      <w:r>
        <w:t xml:space="preserve">plan’s intensity domain — one change, no retraining — raised median Dice from 0.0152 to</w:t>
      </w:r>
      <w:r>
        <w:t xml:space="preserve"> </w:t>
      </w:r>
      <w:r>
        <w:rPr>
          <w:b/>
          <w:bCs/>
        </w:rPr>
        <w:t xml:space="preserve">0.3016</w:t>
      </w:r>
      <w:r>
        <w:t xml:space="preserve"> </w:t>
      </w:r>
      <w:r>
        <w:t xml:space="preserve">(95% CI 0.1744 to 0.4048), a difference in population medians of</w:t>
      </w:r>
      <w:r>
        <w:t xml:space="preserve"> </w:t>
      </w:r>
      <w:r>
        <w:rPr>
          <w:b/>
          <w:bCs/>
        </w:rPr>
        <w:t xml:space="preserve">+0.2864</w:t>
      </w:r>
      <w:r>
        <w:t xml:space="preserve"> </w:t>
      </w:r>
      <w:r>
        <w:t xml:space="preserve">(+0.1204 to +0.4048),</w:t>
      </w:r>
      <w:r>
        <w:t xml:space="preserve"> </w:t>
      </w:r>
      <w:r>
        <w:t xml:space="preserve">and reduced empty predictions from 20 to 15 of 60. The same arm remains</w:t>
      </w:r>
      <w:r>
        <w:t xml:space="preserve"> </w:t>
      </w:r>
      <w:r>
        <w:rPr>
          <w:b/>
          <w:bCs/>
        </w:rPr>
        <w:t xml:space="preserve">−0.5916</w:t>
      </w:r>
      <w:r>
        <w:t xml:space="preserve"> </w:t>
      </w:r>
      <w:r>
        <w:t xml:space="preserve">(−0.7259 to</w:t>
      </w:r>
      <w:r>
        <w:t xml:space="preserve"> </w:t>
      </w:r>
      <w:r>
        <w:t xml:space="preserve">−0.4674) below external CT. Neither interval crosses zero.</w:t>
      </w:r>
    </w:p>
    <w:p>
      <w:pPr>
        <w:pStyle w:val="BodyText"/>
      </w:pPr>
      <w:r>
        <w:t xml:space="preserve">So of the −0.9443 observed against the internal arm, roughly</w:t>
      </w:r>
      <w:r>
        <w:t xml:space="preserve"> </w:t>
      </w:r>
      <w:r>
        <w:rPr>
          <w:b/>
          <w:bCs/>
        </w:rPr>
        <w:t xml:space="preserve">0.29 Dice is attributable to the</w:t>
      </w:r>
      <w:r>
        <w:rPr>
          <w:b/>
          <w:bCs/>
        </w:rPr>
        <w:t xml:space="preserve"> </w:t>
      </w:r>
      <w:r>
        <w:rPr>
          <w:b/>
          <w:bCs/>
        </w:rPr>
        <w:t xml:space="preserve">preprocessing contract</w:t>
      </w:r>
      <w:r>
        <w:t xml:space="preserve"> </w:t>
      </w:r>
      <w:r>
        <w:t xml:space="preserve">and roughly</w:t>
      </w:r>
      <w:r>
        <w:t xml:space="preserve"> </w:t>
      </w:r>
      <w:r>
        <w:rPr>
          <w:b/>
          <w:bCs/>
        </w:rPr>
        <w:t xml:space="preserve">0.59 to a representation that does not transfer to this</w:t>
      </w:r>
      <w:r>
        <w:rPr>
          <w:b/>
          <w:bCs/>
        </w:rPr>
        <w:t xml:space="preserve"> </w:t>
      </w:r>
      <w:r>
        <w:rPr>
          <w:b/>
          <w:bCs/>
        </w:rPr>
        <w:t xml:space="preserve">modality</w:t>
      </w:r>
      <w:r>
        <w:t xml:space="preserve">. A twenty-fold recovery from an input rescaling alone is not a rounding effect: for much</w:t>
      </w:r>
      <w:r>
        <w:t xml:space="preserve"> </w:t>
      </w:r>
      <w:r>
        <w:t xml:space="preserve">of the original collapse, the network was not failing to read MRI so much as never receiving it.</w:t>
      </w:r>
      <w:r>
        <w:t xml:space="preserve"> </w:t>
      </w:r>
      <w:r>
        <w:t xml:space="preserve">Neither is the residual: a correctly-scaled MRI still loses most of the performance the CT cohort</w:t>
      </w:r>
      <w:r>
        <w:t xml:space="preserve"> </w:t>
      </w:r>
      <w:r>
        <w:t xml:space="preserve">retains, because an affine map restores dynamic range and cannot make an MR sequence’s tissue</w:t>
      </w:r>
      <w:r>
        <w:t xml:space="preserve"> </w:t>
      </w:r>
      <w:r>
        <w:t xml:space="preserve">contrast agree with the ordering a Hounsfield window encodes.</w:t>
      </w:r>
    </w:p>
    <w:p>
      <w:pPr>
        <w:pStyle w:val="BodyText"/>
      </w:pPr>
      <w:r>
        <w:t xml:space="preserve">This is a decomposition, not the identification of a single cause, and it is bounded by its own</w:t>
      </w:r>
      <w:r>
        <w:t xml:space="preserve"> </w:t>
      </w:r>
      <w:r>
        <w:t xml:space="preserve">design: it compares two input scalings of one model on one modality pair.</w:t>
      </w:r>
    </w:p>
    <w:p>
      <w:pPr>
        <w:pStyle w:val="BodyText"/>
      </w:pPr>
      <w:r>
        <w:t xml:space="preserve">No part of the run signals this. The inference command has no argument that declares the modality of</w:t>
      </w:r>
      <w:r>
        <w:t xml:space="preserve"> </w:t>
      </w:r>
      <w:r>
        <w:t xml:space="preserve">the incoming images, and the normaliser travels with the checkpoint. The dataset’s own</w:t>
      </w:r>
      <w:r>
        <w:t xml:space="preserve"> </w:t>
      </w:r>
      <w:r>
        <w:rPr>
          <w:rStyle w:val="VerbatimChar"/>
        </w:rPr>
        <w:t xml:space="preserve">dataset.json</w:t>
      </w:r>
      <w:r>
        <w:t xml:space="preserve"> </w:t>
      </w:r>
      <w:r>
        <w:t xml:space="preserve">declares a single CT modality for a collection that contains 100 MRI volumes, so a</w:t>
      </w:r>
      <w:r>
        <w:t xml:space="preserve"> </w:t>
      </w:r>
      <w:r>
        <w:t xml:space="preserve">pipeline that consults that field reaches the same wrong answer.</w:t>
      </w:r>
    </w:p>
    <w:bookmarkEnd w:id="12"/>
    <w:bookmarkStart w:id="1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clinician in this study did the things the methodological literature asks for</w:t>
      </w:r>
      <w:r>
        <w:t xml:space="preserve"> </w:t>
      </w:r>
      <w:r>
        <w:t xml:space="preserve">(7)</w:t>
      </w:r>
      <w:r>
        <w:t xml:space="preserve">. The licence was checked, the model’s provenance conflict with the internal</w:t>
      </w:r>
      <w:r>
        <w:t xml:space="preserve"> </w:t>
      </w:r>
      <w:r>
        <w:t xml:space="preserve">benchmark was identified and disclosed, the split was patient-level and seed-locked, disjointness</w:t>
      </w:r>
      <w:r>
        <w:t xml:space="preserve"> </w:t>
      </w:r>
      <w:r>
        <w:t xml:space="preserve">was proved rather than assumed, the external cohort was genuinely external, the metrics were</w:t>
      </w:r>
      <w:r>
        <w:t xml:space="preserve"> </w:t>
      </w:r>
      <w:r>
        <w:t xml:space="preserve">appropriate to the task</w:t>
      </w:r>
      <w:r>
        <w:t xml:space="preserve"> </w:t>
      </w:r>
      <w:r>
        <w:t xml:space="preserve">(4)</w:t>
      </w:r>
      <w:r>
        <w:t xml:space="preserve">, the cases without a target were handled by a rule</w:t>
      </w:r>
      <w:r>
        <w:t xml:space="preserve"> </w:t>
      </w:r>
      <w:r>
        <w:t xml:space="preserve">fixed in advance, and the subgroups were pre-specified. The third rung still produced a meaningless</w:t>
      </w:r>
      <w:r>
        <w:t xml:space="preserve"> </w:t>
      </w:r>
      <w:r>
        <w:t xml:space="preserve">number, and a reader without ground truth would have had nothing to tell them so.</w:t>
      </w:r>
    </w:p>
    <w:p>
      <w:pPr>
        <w:pStyle w:val="BodyText"/>
      </w:pPr>
      <w:r>
        <w:t xml:space="preserve">That last clause is the whole claim, and it is narrower than it first looks. We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claiming</w:t>
      </w:r>
      <w:r>
        <w:t xml:space="preserve"> </w:t>
      </w:r>
      <w:r>
        <w:t xml:space="preserve">to have discovered this failure by walking the unaided path: the evaluation plan named the</w:t>
      </w:r>
      <w:r>
        <w:t xml:space="preserve"> </w:t>
      </w:r>
      <w:r>
        <w:t xml:space="preserve">normalisation contract and predicted the collapse before inference ran (see the Introduction). What</w:t>
      </w:r>
      <w:r>
        <w:t xml:space="preserve"> </w:t>
      </w:r>
      <w:r>
        <w:t xml:space="preserve">the run demonstrates is the</w:t>
      </w:r>
      <w:r>
        <w:t xml:space="preserve"> </w:t>
      </w:r>
      <w:r>
        <w:rPr>
          <w:i/>
          <w:iCs/>
        </w:rPr>
        <w:t xml:space="preserve">silence</w:t>
      </w:r>
      <w:r>
        <w:t xml:space="preserve"> </w:t>
      </w:r>
      <w:r>
        <w:t xml:space="preserve">— that a pipeline handed an input it cannot process completes,</w:t>
      </w:r>
      <w:r>
        <w:t xml:space="preserve"> </w:t>
      </w:r>
      <w:r>
        <w:t xml:space="preserve">exits 0, and reports a number, with nothing in the command, the logs or the output signalling the</w:t>
      </w:r>
      <w:r>
        <w:t xml:space="preserve"> </w:t>
      </w:r>
      <w:r>
        <w:t xml:space="preserve">problem. That is a defect class worth tooling against, and it is one this study constructed rather</w:t>
      </w:r>
      <w:r>
        <w:t xml:space="preserve"> </w:t>
      </w:r>
      <w:r>
        <w:t xml:space="preserve">than encountered.</w:t>
      </w:r>
    </w:p>
    <w:p>
      <w:pPr>
        <w:pStyle w:val="BodyText"/>
      </w:pPr>
      <w:r>
        <w:t xml:space="preserve">The toolkit’s own record complicates that account, and in a way worth stating precisely. Before any</w:t>
      </w:r>
      <w:r>
        <w:t xml:space="preserve"> </w:t>
      </w:r>
      <w:r>
        <w:t xml:space="preserve">training, the dataset profiler returned</w:t>
      </w:r>
      <w:r>
        <w:t xml:space="preserve"> </w:t>
      </w:r>
      <w:r>
        <w:rPr>
          <w:rStyle w:val="VerbatimChar"/>
        </w:rPr>
        <w:t xml:space="preserve">INTENSITY_SCALE_INCONSISTENT</w:t>
      </w:r>
      <w:r>
        <w:t xml:space="preserve"> </w:t>
      </w:r>
      <w:r>
        <w:t xml:space="preserve">on AMOS22:</w:t>
      </w:r>
      <w:r>
        <w:t xml:space="preserve"> </w:t>
      </w:r>
      <w:r>
        <w:t xml:space="preserve">“500/600 cases</w:t>
      </w:r>
      <w:r>
        <w:t xml:space="preserve"> </w:t>
      </w:r>
      <w:r>
        <w:t xml:space="preserve">bottom out near air (&lt;= -500) and the rest do not, mixed modality, or a rescale not applied to part</w:t>
      </w:r>
      <w:r>
        <w:t xml:space="preserve"> </w:t>
      </w:r>
      <w:r>
        <w:t xml:space="preserve">of the cohort”</w:t>
      </w:r>
      <w:r>
        <w:t xml:space="preserve">. That is a true positive, it names the exact property that later broke the MRI rung,</w:t>
      </w:r>
      <w:r>
        <w:t xml:space="preserve"> </w:t>
      </w:r>
      <w:r>
        <w:t xml:space="preserve">and it is in the shipped quality-control output, where the claim and its severity are</w:t>
      </w:r>
      <w:r>
        <w:t xml:space="preserve"> </w:t>
      </w:r>
      <w:r>
        <w:t xml:space="preserve">machine-readable fields. It was filed as</w:t>
      </w:r>
      <w:r>
        <w:t xml:space="preserve"> </w:t>
      </w:r>
      <w:r>
        <w:rPr>
          <w:b/>
          <w:bCs/>
        </w:rPr>
        <w:t xml:space="preserve">Minor</w:t>
      </w:r>
      <w:r>
        <w:t xml:space="preserve">.</w:t>
      </w:r>
    </w:p>
    <w:p>
      <w:pPr>
        <w:pStyle w:val="BodyText"/>
      </w:pPr>
      <w:r>
        <w:t xml:space="preserve">So detection was not the missing piece. Routing and severity were. Nothing carries a profiling-stage</w:t>
      </w:r>
      <w:r>
        <w:t xml:space="preserve"> </w:t>
      </w:r>
      <w:r>
        <w:t xml:space="preserve">observation forward to the inference stage, nothing compares the intensity domain a trained plan</w:t>
      </w:r>
      <w:r>
        <w:t xml:space="preserve"> </w:t>
      </w:r>
      <w:r>
        <w:t xml:space="preserve">assumes against the arm it is about to be applied to, and a finding whose cost turns out to be a</w:t>
      </w:r>
      <w:r>
        <w:t xml:space="preserve"> </w:t>
      </w:r>
      <w:r>
        <w:t xml:space="preserve">Dice of 0.015 was ranked below the threshold at which anyone stops.</w:t>
      </w:r>
      <w:r>
        <w:t xml:space="preserve"> </w:t>
      </w:r>
      <w:r>
        <w:rPr>
          <w:i/>
          <w:iCs/>
        </w:rPr>
        <w:t xml:space="preserve">A gate that fires correctly</w:t>
      </w:r>
      <w:r>
        <w:rPr>
          <w:i/>
          <w:iCs/>
        </w:rPr>
        <w:t xml:space="preserve"> </w:t>
      </w:r>
      <w:r>
        <w:rPr>
          <w:i/>
          <w:iCs/>
        </w:rPr>
        <w:t xml:space="preserve">into a directory no later step reads is, operationally, a gate that did not fire.</w:t>
      </w:r>
      <w:r>
        <w:t xml:space="preserve"> </w:t>
      </w:r>
      <w:r>
        <w:t xml:space="preserve">We offer that as</w:t>
      </w:r>
      <w:r>
        <w:t xml:space="preserve"> </w:t>
      </w:r>
      <w:r>
        <w:t xml:space="preserve">a hypothesis this example motivates, not as a property established by it — one organ, one</w:t>
      </w:r>
      <w:r>
        <w:t xml:space="preserve"> </w:t>
      </w:r>
      <w:r>
        <w:t xml:space="preserve">architecture, one dataset pair and one deliberately chosen mismatch cannot support a general claim</w:t>
      </w:r>
      <w:r>
        <w:t xml:space="preserve"> </w:t>
      </w:r>
      <w:r>
        <w:t xml:space="preserve">about tooling, and no independent user ever walked this path.</w:t>
      </w:r>
    </w:p>
    <w:p>
      <w:pPr>
        <w:pStyle w:val="BodyText"/>
      </w:pPr>
      <w:r>
        <w:rPr>
          <w:b/>
          <w:bCs/>
        </w:rPr>
        <w:t xml:space="preserve">The written prediction called the mechanism, then overstated it.</w:t>
      </w:r>
      <w:r>
        <w:t xml:space="preserve"> </w:t>
      </w:r>
      <w:r>
        <w:t xml:space="preserve">Before any prediction existed,</w:t>
      </w:r>
      <w:r>
        <w:t xml:space="preserve"> </w:t>
      </w:r>
      <w:r>
        <w:t xml:space="preserve">the evaluation plan named the normalisation contract as the thing that would break the MRI rung, and</w:t>
      </w:r>
      <w:r>
        <w:t xml:space="preserve"> </w:t>
      </w:r>
      <w:r>
        <w:t xml:space="preserve">the outcome matched. (Its chronology is documented by the authors rather than provable from this</w:t>
      </w:r>
      <w:r>
        <w:t xml:space="preserve"> </w:t>
      </w:r>
      <w:r>
        <w:t xml:space="preserve">repository; see Methods.) It also predicted that the clipped volume would retain</w:t>
      </w:r>
      <w:r>
        <w:t xml:space="preserve"> </w:t>
      </w:r>
      <w:r>
        <w:t xml:space="preserve">“only two values”</w:t>
      </w:r>
      <w:r>
        <w:t xml:space="preserve">,</w:t>
      </w:r>
      <w:r>
        <w:t xml:space="preserve"> </w:t>
      </w:r>
      <w:r>
        <w:t xml:space="preserve">reasoning from a single MRI case with an unusually large intensity range. Measured across the</w:t>
      </w:r>
      <w:r>
        <w:t xml:space="preserve"> </w:t>
      </w:r>
      <w:r>
        <w:t xml:space="preserve">cohort, two levels is the extreme rather than the norm: the median is 175 levels and 23.2% of voxels</w:t>
      </w:r>
      <w:r>
        <w:t xml:space="preserve"> </w:t>
      </w:r>
      <w:r>
        <w:t xml:space="preserve">clipped. Generalising a mechanism from one case overstated it, and the plan is left uncorrected in</w:t>
      </w:r>
      <w:r>
        <w:t xml:space="preserve"> </w:t>
      </w:r>
      <w:r>
        <w:t xml:space="preserve">the repository with this note beside it.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training cohort is 32 cases from a single institution and only one nnU-Net</w:t>
      </w:r>
      <w:r>
        <w:t xml:space="preserve"> </w:t>
      </w:r>
      <w:r>
        <w:t xml:space="preserve">configuration was trained, so this is nnU-Net the network rather than nnU-Net the method</w:t>
      </w:r>
      <w:r>
        <w:t xml:space="preserve"> </w:t>
      </w:r>
      <w:r>
        <w:t xml:space="preserve">(9)</w:t>
      </w:r>
      <w:r>
        <w:t xml:space="preserve">. Subgroup estimates are external-only because 9 internal cases cannot</w:t>
      </w:r>
      <w:r>
        <w:t xml:space="preserve"> </w:t>
      </w:r>
      <w:r>
        <w:t xml:space="preserve">support them, and whether the spleen-free cases reflect splenectomy or annotation omission was not</w:t>
      </w:r>
      <w:r>
        <w:t xml:space="preserve"> </w:t>
      </w:r>
      <w:r>
        <w:t xml:space="preserve">determined. The slice-thickness axis is the third voxel dimension, which is the through-plane axis</w:t>
      </w:r>
      <w:r>
        <w:t xml:space="preserve"> </w:t>
      </w:r>
      <w:r>
        <w:t xml:space="preserve">for every CT case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 26 of the 60 MRI volumes; nine scored MRI cases would change</w:t>
      </w:r>
      <w:r>
        <w:t xml:space="preserve"> </w:t>
      </w:r>
      <w:r>
        <w:t xml:space="preserve">stratum under a coarsest-axis rule, so the MRI subgroup rows should be read with that in mind.</w:t>
      </w:r>
    </w:p>
    <w:p>
      <w:pPr>
        <w:pStyle w:val="BodyText"/>
      </w:pPr>
      <w:r>
        <w:t xml:space="preserve">The counterfactual arm separates preprocessing failure from representation failure but does not</w:t>
      </w:r>
      <w:r>
        <w:t xml:space="preserve"> </w:t>
      </w:r>
      <w:r>
        <w:t xml:space="preserve">exhaust the question: percentile matching is the weakest intervention that fixes the declared</w:t>
      </w:r>
      <w:r>
        <w:t xml:space="preserve"> </w:t>
      </w:r>
      <w:r>
        <w:t xml:space="preserve">defect, and a volume-wise z-score — what nnU-Net would have chosen had the dataset been declared MR</w:t>
      </w:r>
      <w:r>
        <w:t xml:space="preserve"> </w:t>
      </w:r>
      <w:r>
        <w:t xml:space="preserve">— is a different counterfactual that was not run. No model trained for multi-modality use was</w:t>
      </w:r>
      <w:r>
        <w:t xml:space="preserve"> </w:t>
      </w:r>
      <w:r>
        <w:t xml:space="preserve">attempted here</w:t>
      </w:r>
      <w:r>
        <w:t xml:space="preserve"> </w:t>
      </w:r>
      <w:r>
        <w:t xml:space="preserve">(13)</w:t>
      </w:r>
      <w:r>
        <w:t xml:space="preserve">. Finally, this is one worked example authored by the people</w:t>
      </w:r>
      <w:r>
        <w:t xml:space="preserve"> </w:t>
      </w:r>
      <w:r>
        <w:t xml:space="preserve">who built the toolkit — no independent users, no comparator workflow, no repetition.</w:t>
      </w:r>
    </w:p>
    <w:bookmarkEnd w:id="13"/>
    <w:bookmarkStart w:id="1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clinician-researcher without an engineer reached a defensible external-validation result on CT.</w:t>
      </w:r>
      <w:r>
        <w:t xml:space="preserve"> </w:t>
      </w:r>
      <w:r>
        <w:t xml:space="preserve">On a third arm, constructed to carry a known incompatibility, the same pipeline returned output for</w:t>
      </w:r>
      <w:r>
        <w:t xml:space="preserve"> </w:t>
      </w:r>
      <w:r>
        <w:t xml:space="preserve">every case, exited 0, and reported a number that means nothing — and the toolkit’s own profiler had</w:t>
      </w:r>
      <w:r>
        <w:t xml:space="preserve"> </w:t>
      </w:r>
      <w:r>
        <w:t xml:space="preserve">already recorded the underlying property, at Minor severity, in a directory no later step reads.</w:t>
      </w:r>
    </w:p>
    <w:p>
      <w:pPr>
        <w:pStyle w:val="BodyText"/>
      </w:pPr>
      <w:r>
        <w:t xml:space="preserve">The change that example suggests is not another detector but a route: carry a profiling-stage</w:t>
      </w:r>
      <w:r>
        <w:t xml:space="preserve"> </w:t>
      </w:r>
      <w:r>
        <w:t xml:space="preserve">observation to the point of use, and compare the intensity domain a trained plan assumes against</w:t>
      </w:r>
      <w:r>
        <w:t xml:space="preserve"> </w:t>
      </w:r>
      <w:r>
        <w:t xml:space="preserve">the arm it is about to be applied to, before an inference run is allowed to report a number.</w:t>
      </w:r>
      <w:r>
        <w:t xml:space="preserve"> </w:t>
      </w:r>
      <w:r>
        <w:t xml:space="preserve">Whether that would prevent failures beyond the one constructed here is untested, and this study</w:t>
      </w:r>
      <w:r>
        <w:t xml:space="preserve"> </w:t>
      </w:r>
      <w:r>
        <w:t xml:space="preserve">cannot settle it — one organ, one architecture, one dataset pair, one author team. What it does</w:t>
      </w:r>
      <w:r>
        <w:t xml:space="preserve"> </w:t>
      </w:r>
      <w:r>
        <w:t xml:space="preserve">establish is that the failure can be complete, and completely quiet, at the same time.</w:t>
      </w:r>
    </w:p>
    <w:bookmarkEnd w:id="14"/>
    <w:bookmarkStart w:id="15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Cohort characteristics by evaluation arm: case counts, target-free counts, spleen</w:t>
      </w:r>
      <w:r>
        <w:t xml:space="preserve"> </w:t>
      </w:r>
      <w:r>
        <w:t xml:space="preserve">volume and slice thickness.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Performance by arm, with the target-free, empty-prediction and HD95 denominators</w:t>
      </w:r>
      <w:r>
        <w:t xml:space="preserve"> </w:t>
      </w:r>
      <w:r>
        <w:t xml:space="preserve">reported beside each estimate.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Pre-specified subgroups, identical cut-points across arms.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What the trained plan’s normaliser does to each external arm.</w:t>
      </w:r>
    </w:p>
    <w:bookmarkEnd w:id="15"/>
    <w:bookmarkStart w:id="16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Per-case Dice by cohort. Box plots with jittered per-case points; the spread is what</w:t>
      </w:r>
      <w:r>
        <w:t xml:space="preserve"> </w:t>
      </w:r>
      <w:r>
        <w:t xml:space="preserve">the medians in Table 2 conceal.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Median Dice with bootstrap 95% confidence intervals across the three cohorts, with the</w:t>
      </w:r>
      <w:r>
        <w:t xml:space="preserve"> </w:t>
      </w:r>
      <w:r>
        <w:t xml:space="preserve">internal arm as the dashed reference.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Pre-specified subgroups on the external CT arm, both axes with identical cut-points.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Why rung 3 collapsed, measured on both external arms. (a) Per-case minimum intensity:</w:t>
      </w:r>
      <w:r>
        <w:t xml:space="preserve"> </w:t>
      </w:r>
      <w:r>
        <w:t xml:space="preserve">every CT case has a Hounsfield air floor near -1000; no MRI case has one. (b) The share of each</w:t>
      </w:r>
      <w:r>
        <w:t xml:space="preserve"> </w:t>
      </w:r>
      <w:r>
        <w:t xml:space="preserve">volume flattened at the trained plan’s clip ceiling under the same normaliser.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Case accounting across both source datasets and the three rungs, including the three</w:t>
      </w:r>
      <w:r>
        <w:t xml:space="preserve"> </w:t>
      </w:r>
      <w:r>
        <w:t xml:space="preserve">cases excluded from the metric distributions because their reference contains no spleen.</w:t>
      </w:r>
    </w:p>
    <w:bookmarkEnd w:id="16"/>
    <w:bookmarkStart w:id="17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Both datasets are public and are not vendored here: MSD Task09 Spleen (CC-BY-SA 4.0) and AMOS22</w:t>
      </w:r>
      <w:r>
        <w:t xml:space="preserve"> </w:t>
      </w:r>
      <w:r>
        <w:t xml:space="preserve">(CC BY 4.0, Zenodo 7262581). The pipeline, the per-case results behind every number, the</w:t>
      </w:r>
      <w:r>
        <w:t xml:space="preserve"> </w:t>
      </w:r>
      <w:r>
        <w:t xml:space="preserve">deterministic gate outputs including the leakage counterfactual, and the friction log are in</w:t>
      </w:r>
      <w:r>
        <w:t xml:space="preserve"> </w:t>
      </w:r>
      <w:r>
        <w:rPr>
          <w:rStyle w:val="VerbatimChar"/>
        </w:rPr>
        <w:t xml:space="preserve">demo/05_msd_amos_spleen/</w:t>
      </w:r>
      <w:r>
        <w:t xml:space="preserve">.</w:t>
      </w:r>
      <w:r>
        <w:t xml:space="preserve"> </w:t>
      </w:r>
      <w:r>
        <w:rPr>
          <w:rStyle w:val="VerbatimChar"/>
        </w:rPr>
        <w:t xml:space="preserve">reproduce.sh</w:t>
      </w:r>
      <w:r>
        <w:t xml:space="preserve"> </w:t>
      </w:r>
      <w:r>
        <w:t xml:space="preserve">re-runs the gates and the full across-cohort analysis on</w:t>
      </w:r>
      <w:r>
        <w:t xml:space="preserve"> </w:t>
      </w:r>
      <w:r>
        <w:t xml:space="preserve">a laptop; training requires approximately 50 GPU-hours and is documented rather than executed.</w:t>
      </w:r>
    </w:p>
    <w:bookmarkEnd w:id="17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19" w:name="ref-isensee2021nnune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Isensee F, Jaeger PF, Kohl SAA, Petersen J, Maier-Hein KH. nnU-net: A self-configuring method for deep learning-based biomedical image segmentation. Nature Methods. 2021;18:203–211. doi:</w:t>
      </w:r>
      <w:r>
        <w:t xml:space="preserve"> </w:t>
      </w:r>
      <w:hyperlink r:id="rId18">
        <w:r>
          <w:rPr>
            <w:rStyle w:val="Hyperlink"/>
          </w:rPr>
          <w:t xml:space="preserve">10.1038/s41592-020-01008-z</w:t>
        </w:r>
      </w:hyperlink>
      <w:r>
        <w:t xml:space="preserve">.</w:t>
      </w:r>
    </w:p>
    <w:bookmarkEnd w:id="19"/>
    <w:bookmarkStart w:id="21" w:name="ref-antonelli2022msd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Antonelli M, Reinke A, Bakas S, et al.</w:t>
      </w:r>
      <w:r>
        <w:t xml:space="preserve"> The medical segmentation decathlon. Nature Communications. 2022;13. doi:</w:t>
      </w:r>
      <w:r>
        <w:t xml:space="preserve"> </w:t>
      </w:r>
      <w:hyperlink r:id="rId20">
        <w:r>
          <w:rPr>
            <w:rStyle w:val="Hyperlink"/>
          </w:rPr>
          <w:t xml:space="preserve">10.1038/s41467-022-30695-9</w:t>
        </w:r>
      </w:hyperlink>
      <w:r>
        <w:t xml:space="preserve">.</w:t>
      </w:r>
    </w:p>
    <w:bookmarkEnd w:id="21"/>
    <w:bookmarkStart w:id="23" w:name="ref-ji2022amo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Ji Y, Bai H, Ge C, Yang J, et al.</w:t>
      </w:r>
      <w:r>
        <w:t xml:space="preserve"> AMOS: A large-scale abdominal multi-organ benchmark for versatile medical image segmentation. Advances in neural information processing systems 35 (NeurIPS 2022). 2022. p. 36722–36732. doi:</w:t>
      </w:r>
      <w:r>
        <w:t xml:space="preserve"> </w:t>
      </w:r>
      <w:hyperlink r:id="rId22">
        <w:r>
          <w:rPr>
            <w:rStyle w:val="Hyperlink"/>
          </w:rPr>
          <w:t xml:space="preserve">10.52202/068431-2661</w:t>
        </w:r>
      </w:hyperlink>
      <w:r>
        <w:t xml:space="preserve">.</w:t>
      </w:r>
    </w:p>
    <w:bookmarkEnd w:id="23"/>
    <w:bookmarkStart w:id="25" w:name="ref-maierhein2024metric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Maier-Hein L, Reinke A, Godau P, et al.</w:t>
      </w:r>
      <w:r>
        <w:t xml:space="preserve"> Metrics reloaded: Recommendations for image analysis validation. Nature Methods. 2024;21:195–212. doi:</w:t>
      </w:r>
      <w:r>
        <w:t xml:space="preserve"> </w:t>
      </w:r>
      <w:hyperlink r:id="rId24">
        <w:r>
          <w:rPr>
            <w:rStyle w:val="Hyperlink"/>
          </w:rPr>
          <w:t xml:space="preserve">10.1038/s41592-023-02151-z</w:t>
        </w:r>
      </w:hyperlink>
      <w:r>
        <w:t xml:space="preserve">.</w:t>
      </w:r>
    </w:p>
    <w:bookmarkEnd w:id="25"/>
    <w:bookmarkStart w:id="27" w:name="ref-zech2018generalizati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Zech JR, Badgeley MA, Liu M, et al.</w:t>
      </w:r>
      <w:r>
        <w:t xml:space="preserve"> Variable generalization performance of a deep learning model to detect pneumonia in chest radiographs: A cross-sectional study. PLOS Medicine. 2018;15:e1002683. doi:</w:t>
      </w:r>
      <w:r>
        <w:t xml:space="preserve"> </w:t>
      </w:r>
      <w:hyperlink r:id="rId26">
        <w:r>
          <w:rPr>
            <w:rStyle w:val="Hyperlink"/>
          </w:rPr>
          <w:t xml:space="preserve">10.1371/journal.pmed.1002683</w:t>
        </w:r>
      </w:hyperlink>
      <w:r>
        <w:t xml:space="preserve">.</w:t>
      </w:r>
    </w:p>
    <w:bookmarkEnd w:id="27"/>
    <w:bookmarkStart w:id="29" w:name="ref-badgeley2019confounding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Badgeley MA, Zech JR, Oakden-Rayner L, et al.</w:t>
      </w:r>
      <w:r>
        <w:t xml:space="preserve"> Deep learning predicts hip fracture using confounding patient and healthcare variables. npj Digital Medicine. 2019;2. doi:</w:t>
      </w:r>
      <w:r>
        <w:t xml:space="preserve"> </w:t>
      </w:r>
      <w:hyperlink r:id="rId28">
        <w:r>
          <w:rPr>
            <w:rStyle w:val="Hyperlink"/>
          </w:rPr>
          <w:t xml:space="preserve">10.1038/s41746-019-0105-1</w:t>
        </w:r>
      </w:hyperlink>
      <w:r>
        <w:t xml:space="preserve">.</w:t>
      </w:r>
    </w:p>
    <w:bookmarkEnd w:id="29"/>
    <w:bookmarkStart w:id="31" w:name="ref-park2018methodologic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Park SH, Han K. Methodologic guide for evaluating clinical performance and effect of artificial intelligence technology for medical diagnosis and prediction. Radiology. 2018;286:800–809. doi:</w:t>
      </w:r>
      <w:r>
        <w:t xml:space="preserve"> </w:t>
      </w:r>
      <w:hyperlink r:id="rId30">
        <w:r>
          <w:rPr>
            <w:rStyle w:val="Hyperlink"/>
          </w:rPr>
          <w:t xml:space="preserve">10.1148/radiol.2017171920</w:t>
        </w:r>
      </w:hyperlink>
      <w:r>
        <w:t xml:space="preserve">.</w:t>
      </w:r>
    </w:p>
    <w:bookmarkEnd w:id="31"/>
    <w:bookmarkStart w:id="33" w:name="ref-maierhein2018ranking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Maier-Hein L, Eisenmann M, Reinke A, et al.</w:t>
      </w:r>
      <w:r>
        <w:t xml:space="preserve"> Why rankings of biomedical image analysis competitions should be interpreted with care. Nature Communications. 2018;9. doi:</w:t>
      </w:r>
      <w:r>
        <w:t xml:space="preserve"> </w:t>
      </w:r>
      <w:hyperlink r:id="rId32">
        <w:r>
          <w:rPr>
            <w:rStyle w:val="Hyperlink"/>
          </w:rPr>
          <w:t xml:space="preserve">10.1038/s41467-018-07619-7</w:t>
        </w:r>
      </w:hyperlink>
      <w:r>
        <w:t xml:space="preserve">.</w:t>
      </w:r>
    </w:p>
    <w:bookmarkEnd w:id="33"/>
    <w:bookmarkStart w:id="35" w:name="ref-isensee2024nnunetrevisited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Isensee F, Wald T, Ulrich C, et al.</w:t>
      </w:r>
      <w:r>
        <w:t xml:space="preserve"> nnU-net revisited: A call for rigorous validation in 3D medical image segmentation. Medical image computing and computer assisted intervention (MICCAI 2024). 2024. p. 488–498. doi:</w:t>
      </w:r>
      <w:r>
        <w:t xml:space="preserve"> </w:t>
      </w:r>
      <w:hyperlink r:id="rId34">
        <w:r>
          <w:rPr>
            <w:rStyle w:val="Hyperlink"/>
          </w:rPr>
          <w:t xml:space="preserve">10.1007/978-3-031-72114-4_47</w:t>
        </w:r>
      </w:hyperlink>
      <w:r>
        <w:t xml:space="preserve">.</w:t>
      </w:r>
    </w:p>
    <w:bookmarkEnd w:id="35"/>
    <w:bookmarkStart w:id="37" w:name="ref-tejani2024claim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Tejani AS, Klontzas ME, Gatti AA, et al.</w:t>
      </w:r>
      <w:r>
        <w:t xml:space="preserve"> Checklist for artificial intelligence in medical imaging (CLAIM): 2024 update. Radiology: Artificial Intelligence. 2024;6(4). doi:</w:t>
      </w:r>
      <w:r>
        <w:t xml:space="preserve"> </w:t>
      </w:r>
      <w:hyperlink r:id="rId36">
        <w:r>
          <w:rPr>
            <w:rStyle w:val="Hyperlink"/>
          </w:rPr>
          <w:t xml:space="preserve">10.1148/ryai.240300</w:t>
        </w:r>
      </w:hyperlink>
      <w:r>
        <w:t xml:space="preserve">.</w:t>
      </w:r>
    </w:p>
    <w:bookmarkEnd w:id="37"/>
    <w:bookmarkStart w:id="39" w:name="ref-mongan2020claim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Mongan J, Moy L, Kahn CE. Checklist for artificial intelligence in medical imaging (CLAIM): A guide for authors and reviewers. Radiology: Artificial Intelligence. 2020;2:e200029. doi:</w:t>
      </w:r>
      <w:r>
        <w:t xml:space="preserve"> </w:t>
      </w:r>
      <w:hyperlink r:id="rId38">
        <w:r>
          <w:rPr>
            <w:rStyle w:val="Hyperlink"/>
          </w:rPr>
          <w:t xml:space="preserve">10.1148/ryai.2020200029</w:t>
        </w:r>
      </w:hyperlink>
      <w:r>
        <w:t xml:space="preserve">.</w:t>
      </w:r>
    </w:p>
    <w:bookmarkEnd w:id="39"/>
    <w:bookmarkStart w:id="41" w:name="ref-collins2024tripodai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Collins GS, Moons KGM, Dhiman P, et al.</w:t>
      </w:r>
      <w:r>
        <w:t xml:space="preserve"> TRIPOD+AI statement: Updated guidance for reporting clinical prediction models that use regression or machine learning methods. BMJ. 2024;e078378. doi:</w:t>
      </w:r>
      <w:r>
        <w:t xml:space="preserve"> </w:t>
      </w:r>
      <w:hyperlink r:id="rId40">
        <w:r>
          <w:rPr>
            <w:rStyle w:val="Hyperlink"/>
          </w:rPr>
          <w:t xml:space="preserve">10.1136/bmj-2023-078378</w:t>
        </w:r>
      </w:hyperlink>
      <w:r>
        <w:t xml:space="preserve">.</w:t>
      </w:r>
    </w:p>
    <w:bookmarkEnd w:id="41"/>
    <w:bookmarkStart w:id="43" w:name="ref-wasserthal2023totalsegmentator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Wasserthal J, Breit H-C, Meyer MT, et al.</w:t>
      </w:r>
      <w:r>
        <w:t xml:space="preserve"> TotalSegmentator: Robust segmentation of 104 anatomic structures in CT images. Radiology: Artificial Intelligence. 2023;5. doi:</w:t>
      </w:r>
      <w:r>
        <w:t xml:space="preserve"> </w:t>
      </w:r>
      <w:hyperlink r:id="rId42">
        <w:r>
          <w:rPr>
            <w:rStyle w:val="Hyperlink"/>
          </w:rPr>
          <w:t xml:space="preserve">10.1148/ryai.230024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doi.org/10.1007/978-3-031-72114-4_47" TargetMode="External" /><Relationship Type="http://schemas.openxmlformats.org/officeDocument/2006/relationships/hyperlink" Id="rId32" Target="https://doi.org/10.1038/s41467-018-07619-7" TargetMode="External" /><Relationship Type="http://schemas.openxmlformats.org/officeDocument/2006/relationships/hyperlink" Id="rId20" Target="https://doi.org/10.1038/s41467-022-30695-9" TargetMode="External" /><Relationship Type="http://schemas.openxmlformats.org/officeDocument/2006/relationships/hyperlink" Id="rId18" Target="https://doi.org/10.1038/s41592-020-01008-z" TargetMode="External" /><Relationship Type="http://schemas.openxmlformats.org/officeDocument/2006/relationships/hyperlink" Id="rId24" Target="https://doi.org/10.1038/s41592-023-02151-z" TargetMode="External" /><Relationship Type="http://schemas.openxmlformats.org/officeDocument/2006/relationships/hyperlink" Id="rId28" Target="https://doi.org/10.1038/s41746-019-0105-1" TargetMode="External" /><Relationship Type="http://schemas.openxmlformats.org/officeDocument/2006/relationships/hyperlink" Id="rId40" Target="https://doi.org/10.1136/bmj-2023-078378" TargetMode="External" /><Relationship Type="http://schemas.openxmlformats.org/officeDocument/2006/relationships/hyperlink" Id="rId30" Target="https://doi.org/10.1148/radiol.2017171920" TargetMode="External" /><Relationship Type="http://schemas.openxmlformats.org/officeDocument/2006/relationships/hyperlink" Id="rId38" Target="https://doi.org/10.1148/ryai.2020200029" TargetMode="External" /><Relationship Type="http://schemas.openxmlformats.org/officeDocument/2006/relationships/hyperlink" Id="rId42" Target="https://doi.org/10.1148/ryai.230024" TargetMode="External" /><Relationship Type="http://schemas.openxmlformats.org/officeDocument/2006/relationships/hyperlink" Id="rId36" Target="https://doi.org/10.1148/ryai.240300" TargetMode="External" /><Relationship Type="http://schemas.openxmlformats.org/officeDocument/2006/relationships/hyperlink" Id="rId26" Target="https://doi.org/10.1371/journal.pmed.1002683" TargetMode="External" /><Relationship Type="http://schemas.openxmlformats.org/officeDocument/2006/relationships/hyperlink" Id="rId22" Target="https://doi.org/10.52202/068431-266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oi.org/10.1007/978-3-031-72114-4_47" TargetMode="External" /><Relationship Type="http://schemas.openxmlformats.org/officeDocument/2006/relationships/hyperlink" Id="rId32" Target="https://doi.org/10.1038/s41467-018-07619-7" TargetMode="External" /><Relationship Type="http://schemas.openxmlformats.org/officeDocument/2006/relationships/hyperlink" Id="rId20" Target="https://doi.org/10.1038/s41467-022-30695-9" TargetMode="External" /><Relationship Type="http://schemas.openxmlformats.org/officeDocument/2006/relationships/hyperlink" Id="rId18" Target="https://doi.org/10.1038/s41592-020-01008-z" TargetMode="External" /><Relationship Type="http://schemas.openxmlformats.org/officeDocument/2006/relationships/hyperlink" Id="rId24" Target="https://doi.org/10.1038/s41592-023-02151-z" TargetMode="External" /><Relationship Type="http://schemas.openxmlformats.org/officeDocument/2006/relationships/hyperlink" Id="rId28" Target="https://doi.org/10.1038/s41746-019-0105-1" TargetMode="External" /><Relationship Type="http://schemas.openxmlformats.org/officeDocument/2006/relationships/hyperlink" Id="rId40" Target="https://doi.org/10.1136/bmj-2023-078378" TargetMode="External" /><Relationship Type="http://schemas.openxmlformats.org/officeDocument/2006/relationships/hyperlink" Id="rId30" Target="https://doi.org/10.1148/radiol.2017171920" TargetMode="External" /><Relationship Type="http://schemas.openxmlformats.org/officeDocument/2006/relationships/hyperlink" Id="rId38" Target="https://doi.org/10.1148/ryai.2020200029" TargetMode="External" /><Relationship Type="http://schemas.openxmlformats.org/officeDocument/2006/relationships/hyperlink" Id="rId42" Target="https://doi.org/10.1148/ryai.230024" TargetMode="External" /><Relationship Type="http://schemas.openxmlformats.org/officeDocument/2006/relationships/hyperlink" Id="rId36" Target="https://doi.org/10.1148/ryai.240300" TargetMode="External" /><Relationship Type="http://schemas.openxmlformats.org/officeDocument/2006/relationships/hyperlink" Id="rId26" Target="https://doi.org/10.1371/journal.pmed.1002683" TargetMode="External" /><Relationship Type="http://schemas.openxmlformats.org/officeDocument/2006/relationships/hyperlink" Id="rId22" Target="https://doi.org/10.52202/068431-266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an unaided clinician’s deep-learning study breaks: a three-rung external-validation ladder for spleen segmentation, and a preprocessing contract that fails in silence</dc:title>
  <dc:creator>Demonstration Author</dc:creator>
  <cp:keywords/>
  <dcterms:created xsi:type="dcterms:W3CDTF">2026-08-01T03:18:26Z</dcterms:created>
  <dcterms:modified xsi:type="dcterms:W3CDTF">2026-08-01T03:18:26Z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manuscript/_src/refs.bib</vt:lpwstr>
  </property>
  <property fmtid="{D5CDD505-2E9C-101B-9397-08002B2CF9AE}" pid="3" name="csl">
    <vt:lpwstr>/Users/eugene/workspace/medsci-worktrees/demo5-spleen-ladder/skills/manage-refs/scripts/../citation_styles/radiology.csl</vt:lpwstr>
  </property>
  <property fmtid="{D5CDD505-2E9C-101B-9397-08002B2CF9AE}" pid="4" name="date">
    <vt:lpwstr>2026-07-31</vt:lpwstr>
  </property>
</Properties>
</file>