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 agent-orchestrated, reproducibility-gated pipeline for medical-imaging CNN studies: an end-to-end worked example on a public benchmark</w:t>
      </w:r>
    </w:p>
    <w:p>
      <w:pPr>
        <w:pStyle w:val="Author"/>
      </w:pPr>
      <w:r>
        <w:t xml:space="preserve">Demonstration Author</w:t>
      </w:r>
    </w:p>
    <w:p>
      <w:pPr>
        <w:pStyle w:val="Date"/>
      </w:pPr>
      <w:r>
        <w:t xml:space="preserve">2026-07-04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Background and objective.</w:t>
      </w:r>
      <w:r>
        <w:t xml:space="preserve"> </w:t>
      </w:r>
      <w:r>
        <w:t xml:space="preserve">Agentic AI toolkits can scaffold model code, but a clinician-researcher</w:t>
      </w:r>
      <w:r>
        <w:t xml:space="preserve"> </w:t>
      </w:r>
      <w:r>
        <w:t xml:space="preserve">needs the</w:t>
      </w:r>
      <w:r>
        <w:t xml:space="preserve"> </w:t>
      </w:r>
      <w:r>
        <w:rPr>
          <w:i/>
          <w:iCs/>
        </w:rPr>
        <w:t xml:space="preserve">whole</w:t>
      </w:r>
      <w:r>
        <w:t xml:space="preserve"> </w:t>
      </w:r>
      <w:r>
        <w:t xml:space="preserve">pipeline — data preparation, split, training, evaluation, calibration, and</w:t>
      </w:r>
      <w:r>
        <w:t xml:space="preserve"> </w:t>
      </w:r>
      <w:r>
        <w:t xml:space="preserve">interpretability — to be leakage-safe, reproducible, and reported to a recognised standard. We</w:t>
      </w:r>
      <w:r>
        <w:t xml:space="preserve"> </w:t>
      </w:r>
      <w:r>
        <w:t xml:space="preserve">demonstrate one such toolkit (MedSci Skills) end to end on a public benchmark, and report what an</w:t>
      </w:r>
      <w:r>
        <w:t xml:space="preserve"> </w:t>
      </w:r>
      <w:r>
        <w:t xml:space="preserve">agent-orchestrated, deterministically-gated pipeline actually produces. This is a</w:t>
      </w:r>
      <w:r>
        <w:t xml:space="preserve"> </w:t>
      </w:r>
      <w:r>
        <w:rPr>
          <w:b/>
          <w:bCs/>
        </w:rPr>
        <w:t xml:space="preserve">methods / tooling</w:t>
      </w:r>
      <w:r>
        <w:rPr>
          <w:b/>
          <w:bCs/>
        </w:rPr>
        <w:t xml:space="preserve"> </w:t>
      </w:r>
      <w:r>
        <w:rPr>
          <w:b/>
          <w:bCs/>
        </w:rPr>
        <w:t xml:space="preserve">demonstration, not a clinical claim.</w:t>
      </w:r>
    </w:p>
    <w:p>
      <w:pPr>
        <w:pStyle w:val="BodyText"/>
      </w:pPr>
      <w:r>
        <w:rPr>
          <w:b/>
          <w:bCs/>
        </w:rPr>
        <w:t xml:space="preserve">Methods.</w:t>
      </w:r>
      <w:r>
        <w:t xml:space="preserve"> </w:t>
      </w:r>
      <w:r>
        <w:t xml:space="preserve">Using the toolkit’s model-engineering lane, we scaffolded a hygiene-clean PyTorch training</w:t>
      </w:r>
      <w:r>
        <w:t xml:space="preserve"> </w:t>
      </w:r>
      <w:r>
        <w:t xml:space="preserve">repository, wired the</w:t>
      </w:r>
      <w:r>
        <w:t xml:space="preserve"> </w:t>
      </w:r>
      <w:r>
        <w:rPr>
          <w:b/>
          <w:bCs/>
        </w:rPr>
        <w:t xml:space="preserve">PneumoniaMNIST</w:t>
      </w:r>
      <w:r>
        <w:t xml:space="preserve"> </w:t>
      </w:r>
      <w:r>
        <w:t xml:space="preserve">dataset (MedMNIST v2, CC BY 4.0; official image-level split),</w:t>
      </w:r>
      <w:r>
        <w:t xml:space="preserve"> </w:t>
      </w:r>
      <w:r>
        <w:t xml:space="preserve">trained a small convolutional network over three seeds, and evaluated once on the held-out test set.</w:t>
      </w:r>
      <w:r>
        <w:t xml:space="preserve"> </w:t>
      </w:r>
      <w:r>
        <w:t xml:space="preserve">Two deterministic gates were enforced before training: a split-disjointness proof and a training-hygiene</w:t>
      </w:r>
      <w:r>
        <w:t xml:space="preserve"> </w:t>
      </w:r>
      <w:r>
        <w:t xml:space="preserve">linter. Calibration and Grad-CAM interpretability (with Adebayo sanity checks) were computed, and the</w:t>
      </w:r>
      <w:r>
        <w:t xml:space="preserve"> </w:t>
      </w:r>
      <w:r>
        <w:t xml:space="preserve">explainability analysis was passed through the toolkit’s explainability-reporting gate. Every reported</w:t>
      </w:r>
      <w:r>
        <w:t xml:space="preserve"> </w:t>
      </w:r>
      <w:r>
        <w:t xml:space="preserve">number comes from the executed run.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t xml:space="preserve">On the test set (n = 624, prevalence 0.625), test AUROC was</w:t>
      </w:r>
      <w:r>
        <w:t xml:space="preserve"> </w:t>
      </w:r>
      <w:r>
        <w:rPr>
          <w:b/>
          <w:bCs/>
        </w:rPr>
        <w:t xml:space="preserve">0.964 ± 0.004</w:t>
      </w:r>
      <w:r>
        <w:t xml:space="preserve"> </w:t>
      </w:r>
      <w:r>
        <w:t xml:space="preserve">over three</w:t>
      </w:r>
      <w:r>
        <w:t xml:space="preserve"> </w:t>
      </w:r>
      <w:r>
        <w:t xml:space="preserve">seeds; a three-seed probability ensemble reached</w:t>
      </w:r>
      <w:r>
        <w:t xml:space="preserve"> </w:t>
      </w:r>
      <w:r>
        <w:rPr>
          <w:b/>
          <w:bCs/>
        </w:rPr>
        <w:t xml:space="preserve">AUROC 0.969 (95% CI 0.956–0.980)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AUPRC 0.980</w:t>
      </w:r>
      <w:r>
        <w:rPr>
          <w:b/>
          <w:bCs/>
        </w:rPr>
        <w:t xml:space="preserve"> </w:t>
      </w:r>
      <w:r>
        <w:rPr>
          <w:b/>
          <w:bCs/>
        </w:rPr>
        <w:t xml:space="preserve">(95% CI 0.970–0.988)</w:t>
      </w:r>
      <w:r>
        <w:t xml:space="preserve">. Expected calibration error was 0.127 (Brier 0.103), indicating the raw model is</w:t>
      </w:r>
      <w:r>
        <w:t xml:space="preserve"> </w:t>
      </w:r>
      <w:r>
        <w:t xml:space="preserve">imperfectly calibrated. Grad-CAM attributions passed both Adebayo sanity checks (model-randomisation</w:t>
      </w:r>
      <w:r>
        <w:t xml:space="preserve"> </w:t>
      </w:r>
      <w:r>
        <w:t xml:space="preserve">r = −0.07; label-permutation r = −0.03), and the explainability-reporting gate returned no violations.</w:t>
      </w:r>
      <w:r>
        <w:t xml:space="preserve"> </w:t>
      </w:r>
      <w:r>
        <w:t xml:space="preserve">The entire pipeline ran locally on a laptop GPU (Apple M5, MPS) in minutes.</w:t>
      </w:r>
    </w:p>
    <w:p>
      <w:pPr>
        <w:pStyle w:val="BodyText"/>
      </w:pPr>
      <w:r>
        <w:rPr>
          <w:b/>
          <w:bCs/>
        </w:rPr>
        <w:t xml:space="preserve">Conclusion.</w:t>
      </w:r>
      <w:r>
        <w:t xml:space="preserve"> </w:t>
      </w:r>
      <w:r>
        <w:t xml:space="preserve">An agent-orchestrated pipeline with deterministic reproducibility gates produced a</w:t>
      </w:r>
      <w:r>
        <w:t xml:space="preserve"> </w:t>
      </w:r>
      <w:r>
        <w:t xml:space="preserve">leakage-safe, calibrated, sanity-checked, and standard-reported CNN result on a public benchmark, with no</w:t>
      </w:r>
      <w:r>
        <w:t xml:space="preserve"> </w:t>
      </w:r>
      <w:r>
        <w:t xml:space="preserve">hand-entered metrics. The workflow is offered as a reproducible template; it makes no clinical claim.</w:t>
      </w:r>
    </w:p>
    <w:bookmarkEnd w:id="9"/>
    <w:bookmarkStart w:id="1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Clinician-researchers increasingly build imaging models without a dedicated engineer, and large-language-model</w:t>
      </w:r>
      <w:r>
        <w:t xml:space="preserve"> </w:t>
      </w:r>
      <w:r>
        <w:t xml:space="preserve">agents can now scaffold the code. The risk is that the</w:t>
      </w:r>
      <w:r>
        <w:t xml:space="preserve"> </w:t>
      </w:r>
      <w:r>
        <w:rPr>
          <w:i/>
          <w:iCs/>
        </w:rPr>
        <w:t xml:space="preserve">convenience</w:t>
      </w:r>
      <w:r>
        <w:t xml:space="preserve"> </w:t>
      </w:r>
      <w:r>
        <w:t xml:space="preserve">of scaffolding outruns the</w:t>
      </w:r>
      <w:r>
        <w:t xml:space="preserve"> </w:t>
      </w:r>
      <w:r>
        <w:rPr>
          <w:i/>
          <w:iCs/>
        </w:rPr>
        <w:t xml:space="preserve">rigor</w:t>
      </w:r>
      <w:r>
        <w:t xml:space="preserve">:</w:t>
      </w:r>
      <w:r>
        <w:t xml:space="preserve"> </w:t>
      </w:r>
      <w:r>
        <w:t xml:space="preserve">image-level rather than patient-level splits, unrecorded seeds, dropout left on at inference, uncalibrated</w:t>
      </w:r>
      <w:r>
        <w:t xml:space="preserve"> </w:t>
      </w:r>
      <w:r>
        <w:t xml:space="preserve">probabilities reported as if trustworthy, and saliency maps presented as proof of correctness are all</w:t>
      </w:r>
      <w:r>
        <w:t xml:space="preserve"> </w:t>
      </w:r>
      <w:r>
        <w:t xml:space="preserve">well-documented failure modes. The question this note addresses is narrow and practical: when an</w:t>
      </w:r>
      <w:r>
        <w:t xml:space="preserve"> </w:t>
      </w:r>
      <w:r>
        <w:t xml:space="preserve">agent-orchestrated toolkit drives the whole pipeline behind deterministic gates, what does the end-to-end</w:t>
      </w:r>
      <w:r>
        <w:t xml:space="preserve"> </w:t>
      </w:r>
      <w:r>
        <w:t xml:space="preserve">artifact look like, and does it clear the checks a reviewer would apply? We answer by running one toolkit</w:t>
      </w:r>
      <w:r>
        <w:t xml:space="preserve"> </w:t>
      </w:r>
      <w:r>
        <w:t xml:space="preserve">(MedSci Skills) from architecture choice to a reported result on a public benchmark, and we frame the</w:t>
      </w:r>
      <w:r>
        <w:t xml:space="preserve"> </w:t>
      </w:r>
      <w:r>
        <w:t xml:space="preserve">result honestly as a demonstration of the</w:t>
      </w:r>
      <w:r>
        <w:t xml:space="preserve"> </w:t>
      </w:r>
      <w:r>
        <w:rPr>
          <w:i/>
          <w:iCs/>
        </w:rPr>
        <w:t xml:space="preserve">tooling</w:t>
      </w:r>
      <w:r>
        <w:t xml:space="preserve">, not a clinical finding.</w:t>
      </w:r>
    </w:p>
    <w:bookmarkEnd w:id="10"/>
    <w:bookmarkStart w:id="11" w:name="methods"/>
    <w:p>
      <w:pPr>
        <w:pStyle w:val="Heading2"/>
      </w:pPr>
      <w:r>
        <w:t xml:space="preserve">Methods</w:t>
      </w:r>
    </w:p>
    <w:p>
      <w:pPr>
        <w:pStyle w:val="FirstParagraph"/>
      </w:pPr>
      <w:r>
        <w:rPr>
          <w:b/>
          <w:bCs/>
        </w:rPr>
        <w:t xml:space="preserve">Toolkit and gates.</w:t>
      </w:r>
      <w:r>
        <w:t xml:space="preserve"> </w:t>
      </w:r>
      <w:r>
        <w:t xml:space="preserve">We used the MedSci Skills model-engineering lane (open source; archived at</w:t>
      </w:r>
      <w:r>
        <w:t xml:space="preserve"> </w:t>
      </w:r>
      <w:r>
        <w:t xml:space="preserve">doi:10.5281/zenodo.20155321). The lane chooses an architecture, scaffolds a runnable training repository</w:t>
      </w:r>
      <w:r>
        <w:t xml:space="preserve"> </w:t>
      </w:r>
      <w:r>
        <w:t xml:space="preserve">with reproducibility guarantees baked in, and enforces deterministic, network-free gates: a</w:t>
      </w:r>
      <w:r>
        <w:t xml:space="preserve"> </w:t>
      </w:r>
      <w:r>
        <w:rPr>
          <w:b/>
          <w:bCs/>
        </w:rPr>
        <w:t xml:space="preserve">split-leakage</w:t>
      </w:r>
      <w:r>
        <w:rPr>
          <w:b/>
          <w:bCs/>
        </w:rPr>
        <w:t xml:space="preserve"> </w:t>
      </w:r>
      <w:r>
        <w:rPr>
          <w:b/>
          <w:bCs/>
        </w:rPr>
        <w:t xml:space="preserve">gate</w:t>
      </w:r>
      <w:r>
        <w:t xml:space="preserve"> </w:t>
      </w:r>
      <w:r>
        <w:t xml:space="preserve">(proves the train/validation/test partitions are disjoint by set arithmetic on the sample IDs, with</w:t>
      </w:r>
      <w:r>
        <w:t xml:space="preserve"> </w:t>
      </w:r>
      <w:r>
        <w:t xml:space="preserve">a recorded seed) and a</w:t>
      </w:r>
      <w:r>
        <w:t xml:space="preserve"> </w:t>
      </w:r>
      <w:r>
        <w:rPr>
          <w:b/>
          <w:bCs/>
        </w:rPr>
        <w:t xml:space="preserve">training-hygiene gate</w:t>
      </w:r>
      <w:r>
        <w:t xml:space="preserve"> </w:t>
      </w:r>
      <w:r>
        <w:t xml:space="preserve">(an AST linter requiring every RNG seeded, cuDNN</w:t>
      </w:r>
      <w:r>
        <w:t xml:space="preserve"> </w:t>
      </w:r>
      <w:r>
        <w:t xml:space="preserve">deterministic, evaluation under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no_grad()</w:t>
      </w:r>
      <w:r>
        <w:t xml:space="preserve">, and the training loader built from the train split</w:t>
      </w:r>
      <w:r>
        <w:t xml:space="preserve"> </w:t>
      </w:r>
      <w:r>
        <w:t xml:space="preserve">only). Both gates passed before any training ran.</w:t>
      </w:r>
    </w:p>
    <w:p>
      <w:pPr>
        <w:pStyle w:val="BodyText"/>
      </w:pPr>
      <w:r>
        <w:rPr>
          <w:b/>
          <w:bCs/>
        </w:rPr>
        <w:t xml:space="preserve">Dataset and split.</w:t>
      </w:r>
      <w:r>
        <w:t xml:space="preserve"> </w:t>
      </w:r>
      <w:r>
        <w:t xml:space="preserve">PneumoniaMNIST (MedMNIST v2), 28×28 grayscale paediatric chest-radiograph images</w:t>
      </w:r>
      <w:r>
        <w:t xml:space="preserve"> </w:t>
      </w:r>
      <w:r>
        <w:t xml:space="preserve">derived from Kermany et al., under CC BY 4.0 (SHA-256 of the source archive</w:t>
      </w:r>
      <w:r>
        <w:t xml:space="preserve"> </w:t>
      </w:r>
      <w:r>
        <w:rPr>
          <w:rStyle w:val="VerbatimChar"/>
        </w:rPr>
        <w:t xml:space="preserve">e1792d3f03751cb1…</w:t>
      </w:r>
      <w:r>
        <w:t xml:space="preserve">). We used</w:t>
      </w:r>
      <w:r>
        <w:t xml:space="preserve"> </w:t>
      </w:r>
      <w:r>
        <w:t xml:space="preserve">MedMNIST’s predefined train/validation/test split — the accepted image-level benchmark protocol.</w:t>
      </w:r>
      <w:r>
        <w:t xml:space="preserve"> </w:t>
      </w:r>
      <w:r>
        <w:t xml:space="preserve">PneumoniaMNIST is an image-level benchmark with no patient grouping; the split-leakage gate confirms the</w:t>
      </w:r>
      <w:r>
        <w:t xml:space="preserve"> </w:t>
      </w:r>
      <w:r>
        <w:t xml:space="preserve">partitions are disjoint at the sample level. For a real patient dataset the same gate is applied at the</w:t>
      </w:r>
      <w:r>
        <w:t xml:space="preserve"> </w:t>
      </w:r>
      <w:r>
        <w:t xml:space="preserve">patient level.</w:t>
      </w:r>
    </w:p>
    <w:p>
      <w:pPr>
        <w:pStyle w:val="BodyText"/>
      </w:pPr>
      <w:r>
        <w:rPr>
          <w:b/>
          <w:bCs/>
        </w:rPr>
        <w:t xml:space="preserve">Model and training.</w:t>
      </w:r>
      <w:r>
        <w:t xml:space="preserve"> </w:t>
      </w:r>
      <w:r>
        <w:t xml:space="preserve">A small convolutional network (three conv blocks + global pooling + a linear head;</w:t>
      </w:r>
      <w:r>
        <w:t xml:space="preserve"> </w:t>
      </w:r>
      <w:r>
        <w:t xml:space="preserve">the scaffold’s default, CPU-smoke-testable) was trained with Adam (lr 1e-3), cross-entropy loss, batch</w:t>
      </w:r>
      <w:r>
        <w:t xml:space="preserve"> </w:t>
      </w:r>
      <w:r>
        <w:t xml:space="preserve">size 128, for 20 epochs, selecting the best checkpoint on the validation split. Training was repeated for</w:t>
      </w:r>
      <w:r>
        <w:t xml:space="preserve"> </w:t>
      </w:r>
      <w:r>
        <w:t xml:space="preserve">seeds 42, 43, and 44; because GPU operations are not fully deterministic (Metal/MPS backend), performance</w:t>
      </w:r>
      <w:r>
        <w:t xml:space="preserve"> </w:t>
      </w:r>
      <w:r>
        <w:t xml:space="preserve">is reported as mean ± SD over the three seeds, per the scaffold’s reproducibility rule. The test split was</w:t>
      </w:r>
      <w:r>
        <w:t xml:space="preserve"> </w:t>
      </w:r>
      <w:r>
        <w:t xml:space="preserve">touched once, by the evaluation script.</w:t>
      </w:r>
    </w:p>
    <w:p>
      <w:pPr>
        <w:pStyle w:val="BodyText"/>
      </w:pPr>
      <w:r>
        <w:rPr>
          <w:b/>
          <w:bCs/>
        </w:rPr>
        <w:t xml:space="preserve">Evaluation, calibration, interpretability.</w:t>
      </w:r>
      <w:r>
        <w:t xml:space="preserve"> </w:t>
      </w:r>
      <w:r>
        <w:t xml:space="preserve">Held-out discrimination was summarised by AUROC and AUPRC</w:t>
      </w:r>
      <w:r>
        <w:t xml:space="preserve"> </w:t>
      </w:r>
      <w:r>
        <w:t xml:space="preserve">(scikit-learn); a three-seed probability ensemble was formed and its AUROC/AUPRC 95% confidence intervals</w:t>
      </w:r>
      <w:r>
        <w:t xml:space="preserve"> </w:t>
      </w:r>
      <w:r>
        <w:t xml:space="preserve">were obtained by bootstrap resampling of the test set (2000 replicates). Calibration was summarised by</w:t>
      </w:r>
      <w:r>
        <w:t xml:space="preserve"> </w:t>
      </w:r>
      <w:r>
        <w:t xml:space="preserve">expected calibration error (10 bins) and the Brier score. Interpretability used Grad-CAM (captum</w:t>
      </w:r>
      <w:r>
        <w:t xml:space="preserve"> </w:t>
      </w:r>
      <w:r>
        <w:t xml:space="preserve">LayerGradCam on the last convolutional layer) with two Adebayo sanity checks — model randomisation and</w:t>
      </w:r>
      <w:r>
        <w:t xml:space="preserve"> </w:t>
      </w:r>
      <w:r>
        <w:t xml:space="preserve">training-label permutation — quantified as the Pearson correlation between the trained model’s attributions</w:t>
      </w:r>
      <w:r>
        <w:t xml:space="preserve"> </w:t>
      </w:r>
      <w:r>
        <w:t xml:space="preserve">and the control model’s. The explainability analysis was recorded as a manifest and passed through the</w:t>
      </w:r>
      <w:r>
        <w:t xml:space="preserve"> </w:t>
      </w:r>
      <w:r>
        <w:t xml:space="preserve">toolkit’s explainability-reporting gate. Because PneumoniaMNIST has no lesion masks, a quantitative</w:t>
      </w:r>
      <w:r>
        <w:t xml:space="preserve"> </w:t>
      </w:r>
      <w:r>
        <w:t xml:space="preserve">localisation metric (IoU / pointing game) is not computable; the maps are reported as attribution, not as</w:t>
      </w:r>
      <w:r>
        <w:t xml:space="preserve"> </w:t>
      </w:r>
      <w:r>
        <w:t xml:space="preserve">localisation proof.</w:t>
      </w:r>
    </w:p>
    <w:p>
      <w:pPr>
        <w:pStyle w:val="BodyText"/>
      </w:pPr>
      <w:r>
        <w:rPr>
          <w:b/>
          <w:bCs/>
        </w:rPr>
        <w:t xml:space="preserve">Environment.</w:t>
      </w:r>
      <w:r>
        <w:t xml:space="preserve"> </w:t>
      </w:r>
      <w:r>
        <w:t xml:space="preserve">torch 2.12.1, medmnist 3.0.2, scikit-learn 1.9.0, captum 0.9.0, Python 3.13, on an Apple</w:t>
      </w:r>
      <w:r>
        <w:t xml:space="preserve"> </w:t>
      </w:r>
      <w:r>
        <w:t xml:space="preserve">M5 (MPS) laptop.</w:t>
      </w:r>
      <w:r>
        <w:t xml:space="preserve"> </w:t>
      </w:r>
      <w:r>
        <w:rPr>
          <w:b/>
          <w:bCs/>
        </w:rPr>
        <w:t xml:space="preserve">These version numbers are not recorded in any shipped artifact.</w:t>
      </w:r>
      <w:r>
        <w:t xml:space="preserve"> </w:t>
      </w:r>
      <w:r>
        <w:rPr>
          <w:rStyle w:val="VerbatimChar"/>
        </w:rPr>
        <w:t xml:space="preserve">results/results.json</w:t>
      </w:r>
      <w:r>
        <w:t xml:space="preserve"> </w:t>
      </w:r>
      <w:r>
        <w:t xml:space="preserve">carries the device, epochs and seeds but no environment block, and both</w:t>
      </w:r>
      <w:r>
        <w:t xml:space="preserve"> </w:t>
      </w:r>
      <w:r>
        <w:rPr>
          <w:rStyle w:val="VerbatimChar"/>
        </w:rPr>
        <w:t xml:space="preserve">pipeline/REPRODUCIBILITY.md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pipeline/requirements.txt</w:t>
      </w:r>
      <w:r>
        <w:t xml:space="preserve"> </w:t>
      </w:r>
      <w:r>
        <w:t xml:space="preserve">state that no exact version set was captured at run time. They are therefore</w:t>
      </w:r>
      <w:r>
        <w:t xml:space="preserve"> </w:t>
      </w:r>
      <w:r>
        <w:t xml:space="preserve">the one class of number in this note that a reader cannot re-derive from the repository, and they are</w:t>
      </w:r>
      <w:r>
        <w:t xml:space="preserve"> </w:t>
      </w:r>
      <w:r>
        <w:t xml:space="preserve">flagged rather than removed because they may well be correct — but</w:t>
      </w:r>
      <w:r>
        <w:t xml:space="preserve"> </w:t>
      </w:r>
      <w:r>
        <w:t xml:space="preserve">“all metrics are computed by the</w:t>
      </w:r>
      <w:r>
        <w:t xml:space="preserve"> </w:t>
      </w:r>
      <w:r>
        <w:t xml:space="preserve">released code”</w:t>
      </w:r>
      <w:r>
        <w:t xml:space="preserve"> </w:t>
      </w:r>
      <w:r>
        <w:t xml:space="preserve">below applies to the metrics, not to this line.</w:t>
      </w:r>
    </w:p>
    <w:bookmarkEnd w:id="11"/>
    <w:bookmarkStart w:id="12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Both pre-training gates passed (disjoint split with recorded seed; hygiene-clean training and evaluation</w:t>
      </w:r>
      <w:r>
        <w:t xml:space="preserve"> </w:t>
      </w:r>
      <w:r>
        <w:t xml:space="preserve">code). Over three seeds the test AUROC was</w:t>
      </w:r>
      <w:r>
        <w:t xml:space="preserve"> </w:t>
      </w:r>
      <w:r>
        <w:rPr>
          <w:b/>
          <w:bCs/>
        </w:rPr>
        <w:t xml:space="preserve">0.964 ± 0.004</w:t>
      </w:r>
      <w:r>
        <w:t xml:space="preserve"> </w:t>
      </w:r>
      <w:r>
        <w:t xml:space="preserve">(per-seed 0.967 / 0.959 / 0.966), AUPRC</w:t>
      </w:r>
      <w:r>
        <w:t xml:space="preserve"> </w:t>
      </w:r>
      <w:r>
        <w:rPr>
          <w:b/>
          <w:bCs/>
        </w:rPr>
        <w:t xml:space="preserve">0.975 ± 0.004</w:t>
      </w:r>
      <w:r>
        <w:t xml:space="preserve">, and accuracy at a 0.5 threshold 0.860 ± 0.038 (n = 624, prevalence 0.625). The three-seed</w:t>
      </w:r>
      <w:r>
        <w:t xml:space="preserve"> </w:t>
      </w:r>
      <w:r>
        <w:t xml:space="preserve">ensemble reached</w:t>
      </w:r>
      <w:r>
        <w:t xml:space="preserve"> </w:t>
      </w:r>
      <w:r>
        <w:rPr>
          <w:b/>
          <w:bCs/>
        </w:rPr>
        <w:t xml:space="preserve">AUROC 0.969 (95% CI 0.956–0.980)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AUPRC 0.980 (95% CI 0.970–0.988)</w:t>
      </w:r>
      <w:r>
        <w:t xml:space="preserve"> </w:t>
      </w:r>
      <w:r>
        <w:t xml:space="preserve">(Figure 2),</w:t>
      </w:r>
      <w:r>
        <w:t xml:space="preserve"> </w:t>
      </w:r>
      <w:r>
        <w:t xml:space="preserve">consistent with published PneumoniaMNIST baselines (Yang et al.). Expected calibration error was 0.127 with</w:t>
      </w:r>
      <w:r>
        <w:t xml:space="preserve"> </w:t>
      </w:r>
      <w:r>
        <w:t xml:space="preserve">a Brier score of 0.103, i.e. the raw probabilities are over-confident; temperature scaling on the validation</w:t>
      </w:r>
      <w:r>
        <w:t xml:space="preserve"> </w:t>
      </w:r>
      <w:r>
        <w:t xml:space="preserve">split is the standard recalibration remedy and would precede any decision use (not applied here) (Figure 3). Grad-CAM attributions passed both sanity checks: attributions from a</w:t>
      </w:r>
      <w:r>
        <w:t xml:space="preserve"> </w:t>
      </w:r>
      <w:r>
        <w:t xml:space="preserve">randomly-initialised model and from a model trained on permuted labels were uncorrelated with the trained</w:t>
      </w:r>
      <w:r>
        <w:t xml:space="preserve"> </w:t>
      </w:r>
      <w:r>
        <w:t xml:space="preserve">model’s (mean Pearson r −0.07 and −0.03, respectively), so the maps depend on the learned weights and</w:t>
      </w:r>
      <w:r>
        <w:t xml:space="preserve"> </w:t>
      </w:r>
      <w:r>
        <w:t xml:space="preserve">labels rather than on image edges alone; the explainability-reporting gate returned no violations. Training</w:t>
      </w:r>
      <w:r>
        <w:t xml:space="preserve"> </w:t>
      </w:r>
      <w:r>
        <w:t xml:space="preserve">converged within 20 epochs across seeds (Figure 1), and example attribution maps are shown in Figure 4. The</w:t>
      </w:r>
      <w:r>
        <w:t xml:space="preserve"> </w:t>
      </w:r>
      <w:r>
        <w:t xml:space="preserve">full pipeline — gates, three-seed training, evaluation, calibration, and interpretability — executed on a</w:t>
      </w:r>
      <w:r>
        <w:t xml:space="preserve"> </w:t>
      </w:r>
      <w:r>
        <w:t xml:space="preserve">laptop GPU in minutes.</w:t>
      </w:r>
    </w:p>
    <w:bookmarkEnd w:id="12"/>
    <w:bookmarkStart w:id="13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The contribution here is not the model or its accuracy — PneumoniaMNIST is an easy benchmark and the result</w:t>
      </w:r>
      <w:r>
        <w:t xml:space="preserve"> </w:t>
      </w:r>
      <w:r>
        <w:t xml:space="preserve">is unremarkable by design — but the demonstration that an</w:t>
      </w:r>
      <w:r>
        <w:t xml:space="preserve"> </w:t>
      </w:r>
      <w:r>
        <w:rPr>
          <w:b/>
          <w:bCs/>
        </w:rPr>
        <w:t xml:space="preserve">agent-orchestrated pipeline with deterministic</w:t>
      </w:r>
      <w:r>
        <w:rPr>
          <w:b/>
          <w:bCs/>
        </w:rPr>
        <w:t xml:space="preserve"> </w:t>
      </w:r>
      <w:r>
        <w:rPr>
          <w:b/>
          <w:bCs/>
        </w:rPr>
        <w:t xml:space="preserve">gates</w:t>
      </w:r>
      <w:r>
        <w:t xml:space="preserve"> </w:t>
      </w:r>
      <w:r>
        <w:t xml:space="preserve">yields a leakage-safe, seed-averaged, calibration-reported, sanity-checked, and standard-reported</w:t>
      </w:r>
      <w:r>
        <w:t xml:space="preserve"> </w:t>
      </w:r>
      <w:r>
        <w:t xml:space="preserve">artifact end to end, with no hand-entered numbers. Two gate outcomes are worth noting because they are the</w:t>
      </w:r>
      <w:r>
        <w:t xml:space="preserve"> </w:t>
      </w:r>
      <w:r>
        <w:t xml:space="preserve">kind of thing that silently degrades unmentored pipelines: the calibration error (0.127) surfaced that a</w:t>
      </w:r>
      <w:r>
        <w:t xml:space="preserve"> </w:t>
      </w:r>
      <w:r>
        <w:t xml:space="preserve">seemingly strong classifier is over-confident, and the explainability gate’s discipline forced the maps to</w:t>
      </w:r>
      <w:r>
        <w:t xml:space="preserve"> </w:t>
      </w:r>
      <w:r>
        <w:t xml:space="preserve">be reported as attribution rather than localisation, because the benchmark has no masks.</w:t>
      </w:r>
    </w:p>
    <w:p>
      <w:pPr>
        <w:pStyle w:val="BodyText"/>
      </w:pPr>
      <w:r>
        <w:rPr>
          <w:b/>
          <w:bCs/>
        </w:rPr>
        <w:t xml:space="preserve">Limitations.</w:t>
      </w:r>
      <w:r>
        <w:t xml:space="preserve"> </w:t>
      </w:r>
      <w:r>
        <w:t xml:space="preserve">This is a tooling demonstration on a public benchmark, not a clinical study.</w:t>
      </w:r>
      <w:r>
        <w:t xml:space="preserve"> </w:t>
      </w:r>
      <w:r>
        <w:t xml:space="preserve">PneumoniaMNIST is 28×28 and image-level; a clinical dataset would require patient-level splitting, native</w:t>
      </w:r>
      <w:r>
        <w:t xml:space="preserve"> </w:t>
      </w:r>
      <w:r>
        <w:t xml:space="preserve">resolution, external validation, and a prospective, calibrated, deployment-focused evaluation (which the</w:t>
      </w:r>
      <w:r>
        <w:t xml:space="preserve"> </w:t>
      </w:r>
      <w:r>
        <w:t xml:space="preserve">same toolkit supports but which are out of scope here). The MPS backend is not fully deterministic, which</w:t>
      </w:r>
      <w:r>
        <w:t xml:space="preserve"> </w:t>
      </w:r>
      <w:r>
        <w:t xml:space="preserve">is why results are reported over three seeds rather than a single run. The model is a small default network;</w:t>
      </w:r>
      <w:r>
        <w:t xml:space="preserve"> </w:t>
      </w:r>
      <w:r>
        <w:t xml:space="preserve">a pretrained backbone would likely do better but would not change the methodological point.</w:t>
      </w:r>
    </w:p>
    <w:p>
      <w:pPr>
        <w:pStyle w:val="BodyText"/>
      </w:pPr>
      <w:r>
        <w:rPr>
          <w:b/>
          <w:bCs/>
        </w:rPr>
        <w:t xml:space="preserve">Conclusion.</w:t>
      </w:r>
      <w:r>
        <w:t xml:space="preserve"> </w:t>
      </w:r>
      <w:r>
        <w:t xml:space="preserve">Deterministic reproducibility gates can be wired into an agent-orchestrated imaging-model</w:t>
      </w:r>
      <w:r>
        <w:t xml:space="preserve"> </w:t>
      </w:r>
      <w:r>
        <w:t xml:space="preserve">pipeline so that leakage-safety, seed-averaging, calibration, and interpretability-rigor are enforced by</w:t>
      </w:r>
      <w:r>
        <w:t xml:space="preserve"> </w:t>
      </w:r>
      <w:r>
        <w:t xml:space="preserve">construction rather than by reviewer vigilance. We release the runnable repository and the exact results as</w:t>
      </w:r>
      <w:r>
        <w:t xml:space="preserve"> </w:t>
      </w:r>
      <w:r>
        <w:t xml:space="preserve">a reproducible template.</w:t>
      </w:r>
    </w:p>
    <w:bookmarkEnd w:id="13"/>
    <w:bookmarkStart w:id="26" w:name="figures"/>
    <w:p>
      <w:pPr>
        <w:pStyle w:val="Heading2"/>
      </w:pPr>
      <w:r>
        <w:t xml:space="preserve">Figures</w:t>
      </w:r>
    </w:p>
    <w:p>
      <w:pPr>
        <w:pStyle w:val="CaptionedFigure"/>
      </w:pPr>
      <w:r>
        <w:drawing>
          <wp:inline>
            <wp:extent cx="3200400" cy="2048255"/>
            <wp:effectExtent b="0" l="0" r="0" t="0"/>
            <wp:docPr descr="Figure 1. Validation loss over 20 epochs for seeds 42/43/44." title="" id="15" name="Picture"/>
            <a:graphic>
              <a:graphicData uri="http://schemas.openxmlformats.org/drawingml/2006/picture">
                <pic:pic>
                  <pic:nvPicPr>
                    <pic:cNvPr descr="../figures/fig1_training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48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Validation loss over 20 epochs for seeds 42/43/44.</w:t>
      </w:r>
    </w:p>
    <w:p>
      <w:pPr>
        <w:pStyle w:val="CaptionedFigure"/>
      </w:pPr>
      <w:r>
        <w:drawing>
          <wp:inline>
            <wp:extent cx="2933700" cy="2933700"/>
            <wp:effectExtent b="0" l="0" r="0" t="0"/>
            <wp:docPr descr="Figure 2. Test ROC of the three-seed ensemble (AUROC 0.969, 95% CI 0.956–0.980; bootstrap, 2000 replicates)." title="" id="18" name="Picture"/>
            <a:graphic>
              <a:graphicData uri="http://schemas.openxmlformats.org/drawingml/2006/picture">
                <pic:pic>
                  <pic:nvPicPr>
                    <pic:cNvPr descr="../figures/fig2_roc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Test ROC of the three-seed ensemble (AUROC 0.969, 95% CI 0.956–0.980; bootstrap, 2000 replicates).</w:t>
      </w:r>
    </w:p>
    <w:p>
      <w:pPr>
        <w:pStyle w:val="CaptionedFigure"/>
      </w:pPr>
      <w:r>
        <w:drawing>
          <wp:inline>
            <wp:extent cx="2933700" cy="2933700"/>
            <wp:effectExtent b="0" l="0" r="0" t="0"/>
            <wp:docPr descr="Figure 3. Reliability (calibration) curve; expected calibration error 0.127." title="" id="21" name="Picture"/>
            <a:graphic>
              <a:graphicData uri="http://schemas.openxmlformats.org/drawingml/2006/picture">
                <pic:pic>
                  <pic:nvPicPr>
                    <pic:cNvPr descr="../figures/fig3_calibration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Reliability (calibration) curve; expected calibration error 0.127.</w:t>
      </w:r>
    </w:p>
    <w:p>
      <w:pPr>
        <w:pStyle w:val="CaptionedFigure"/>
      </w:pPr>
      <w:r>
        <w:drawing>
          <wp:inline>
            <wp:extent cx="5067300" cy="1351280"/>
            <wp:effectExtent b="0" l="0" r="0" t="0"/>
            <wp:docPr descr="Figure 4. Grad-CAM attribution maps for representative test cases (top: image; bottom: overlay). Attribution only — PneumoniaMNIST has no lesion masks; maps passed both Adebayo sanity checks." title="" id="24" name="Picture"/>
            <a:graphic>
              <a:graphicData uri="http://schemas.openxmlformats.org/drawingml/2006/picture">
                <pic:pic>
                  <pic:nvPicPr>
                    <pic:cNvPr descr="../figures/fig4_gradcam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351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Grad-CAM attribution maps for representative test cases (top: image; bottom: overlay). Attribution only — PneumoniaMNIST has no lesion masks; maps passed both Adebayo sanity checks.</w:t>
      </w:r>
    </w:p>
    <w:bookmarkEnd w:id="26"/>
    <w:bookmarkStart w:id="27" w:name="data-and-code-availability"/>
    <w:p>
      <w:pPr>
        <w:pStyle w:val="Heading2"/>
      </w:pPr>
      <w:r>
        <w:t xml:space="preserve">Data and code availability</w:t>
      </w:r>
    </w:p>
    <w:p>
      <w:pPr>
        <w:pStyle w:val="FirstParagraph"/>
      </w:pPr>
      <w:r>
        <w:t xml:space="preserve">PneumoniaMNIST is public (MedMNIST v2, CC BY 4.0). The runnable repository (scaffold, gates, training,</w:t>
      </w:r>
      <w:r>
        <w:t xml:space="preserve"> </w:t>
      </w:r>
      <w:r>
        <w:t xml:space="preserve">evaluation, calibration, interpretability, and figure code) and the exact results manifest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results/results.json</w:t>
      </w:r>
      <w:r>
        <w:t xml:space="preserve">) accompany this note. The MedSci Skills toolkit is open source (archived at</w:t>
      </w:r>
      <w:r>
        <w:t xml:space="preserve"> </w:t>
      </w:r>
      <w:r>
        <w:t xml:space="preserve">doi:10.5281/zenodo.20155321).</w:t>
      </w:r>
    </w:p>
    <w:bookmarkEnd w:id="27"/>
    <w:bookmarkStart w:id="28" w:name="reproducibility"/>
    <w:p>
      <w:pPr>
        <w:pStyle w:val="Heading2"/>
      </w:pPr>
      <w:r>
        <w:t xml:space="preserve">Reproducibility</w:t>
      </w:r>
    </w:p>
    <w:p>
      <w:pPr>
        <w:pStyle w:val="FirstParagraph"/>
      </w:pPr>
      <w:r>
        <w:t xml:space="preserve">Seeds 42/43/44; best checkpoint selected on validation; test touched once. All metrics are computed by the</w:t>
      </w:r>
      <w:r>
        <w:t xml:space="preserve"> </w:t>
      </w:r>
      <w:r>
        <w:t xml:space="preserve">released code from the executed run — none are hand-entered. The dataset hash is given in Methods; the</w:t>
      </w:r>
      <w:r>
        <w:t xml:space="preserve"> </w:t>
      </w:r>
      <w:r>
        <w:t xml:space="preserve">package versions there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captured by any artifact (see Environment) and are the single exception</w:t>
      </w:r>
      <w:r>
        <w:t xml:space="preserve"> </w:t>
      </w:r>
      <w:r>
        <w:t xml:space="preserve">to the no-hand-entered-numbers rule in this note. Re-running</w:t>
      </w:r>
      <w:r>
        <w:t xml:space="preserve"> </w:t>
      </w:r>
      <w:r>
        <w:rPr>
          <w:rStyle w:val="VerbatimChar"/>
        </w:rPr>
        <w:t xml:space="preserve">experiment.py</w:t>
      </w:r>
      <w:r>
        <w:t xml:space="preserve"> </w:t>
      </w:r>
      <w:r>
        <w:t xml:space="preserve">reproduces</w:t>
      </w:r>
      <w:r>
        <w:t xml:space="preserve"> </w:t>
      </w:r>
      <w:r>
        <w:rPr>
          <w:rStyle w:val="VerbatimChar"/>
        </w:rPr>
        <w:t xml:space="preserve">results/results.json</w:t>
      </w:r>
      <w:r>
        <w:t xml:space="preserve"> </w:t>
      </w:r>
      <w:r>
        <w:t xml:space="preserve">up to MPS non-determinism (bounded</w:t>
      </w:r>
      <w:r>
        <w:t xml:space="preserve"> </w:t>
      </w:r>
      <w:r>
        <w:t xml:space="preserve">by the reported seed SD).</w:t>
      </w:r>
    </w:p>
    <w:bookmarkEnd w:id="28"/>
    <w:bookmarkStart w:id="29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rPr>
          <w:i/>
          <w:iCs/>
        </w:rPr>
        <w:t xml:space="preserve">References were verified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/verify-refs</w:t>
      </w:r>
      <w:r>
        <w:rPr>
          <w:i/>
          <w:iCs/>
        </w:rPr>
        <w:t xml:space="preserve"> </w:t>
      </w:r>
      <w:r>
        <w:rPr>
          <w:i/>
          <w:iCs/>
        </w:rPr>
        <w:t xml:space="preserve">(PubMed/CrossRef/OpenAlex): 8/9 auto-verified by DOI and</w:t>
      </w:r>
      <w:r>
        <w:rPr>
          <w:i/>
          <w:iCs/>
        </w:rPr>
        <w:t xml:space="preserve"> </w:t>
      </w:r>
      <w:r>
        <w:rPr>
          <w:i/>
          <w:iCs/>
        </w:rPr>
        <w:t xml:space="preserve">first-author cross-check; ref 7 (PyTorch) is a canonical software citation not indexed in the biomedical</w:t>
      </w:r>
      <w:r>
        <w:rPr>
          <w:i/>
          <w:iCs/>
        </w:rPr>
        <w:t xml:space="preserve"> </w:t>
      </w:r>
      <w:r>
        <w:rPr>
          <w:i/>
          <w:iCs/>
        </w:rPr>
        <w:t xml:space="preserve">sources and was manually confirmed (arXiv:1912.01703).</w:t>
      </w:r>
    </w:p>
    <w:p>
      <w:pPr>
        <w:pStyle w:val="Compact"/>
        <w:numPr>
          <w:ilvl w:val="0"/>
          <w:numId w:val="1001"/>
        </w:numPr>
      </w:pPr>
      <w:r>
        <w:t xml:space="preserve">Yang J, Shi R, Wei D, et al. MedMNIST v2 — A large-scale lightweight benchmark for 2D and 3D biomedical image classification. Sci Data. 2023;10:41.</w:t>
      </w:r>
    </w:p>
    <w:p>
      <w:pPr>
        <w:pStyle w:val="Compact"/>
        <w:numPr>
          <w:ilvl w:val="0"/>
          <w:numId w:val="1001"/>
        </w:numPr>
      </w:pPr>
      <w:r>
        <w:t xml:space="preserve">Kermany DS, Goldbaum M, Cai W, et al. Identifying medical diagnoses and treatable diseases by image-based deep learning. Cell. 2018;172(5):1122-1131.</w:t>
      </w:r>
    </w:p>
    <w:p>
      <w:pPr>
        <w:pStyle w:val="Compact"/>
        <w:numPr>
          <w:ilvl w:val="0"/>
          <w:numId w:val="1001"/>
        </w:numPr>
      </w:pPr>
      <w:r>
        <w:t xml:space="preserve">Adebayo J, Gilmer J, Muelly M, et al. Sanity checks for saliency maps. In: Advances in Neural Information Processing Systems (NeurIPS). 2018.</w:t>
      </w:r>
    </w:p>
    <w:p>
      <w:pPr>
        <w:pStyle w:val="Compact"/>
        <w:numPr>
          <w:ilvl w:val="0"/>
          <w:numId w:val="1001"/>
        </w:numPr>
      </w:pPr>
      <w:r>
        <w:t xml:space="preserve">Selvaraju RR, Cogswell M, Das A, et al. Grad-CAM: visual explanations from deep networks via gradient-based localization. In: IEEE International Conference on Computer Vision (ICCV). 2017:618-626.</w:t>
      </w:r>
    </w:p>
    <w:p>
      <w:pPr>
        <w:pStyle w:val="Compact"/>
        <w:numPr>
          <w:ilvl w:val="0"/>
          <w:numId w:val="1001"/>
        </w:numPr>
      </w:pPr>
      <w:r>
        <w:t xml:space="preserve">Kokhlikyan N, Miglani V, Martin M, et al. Captum: a unified and generic model interpretability library for PyTorch. arXiv:2009.07896. 2020.</w:t>
      </w:r>
    </w:p>
    <w:p>
      <w:pPr>
        <w:pStyle w:val="Compact"/>
        <w:numPr>
          <w:ilvl w:val="0"/>
          <w:numId w:val="1001"/>
        </w:numPr>
      </w:pPr>
      <w:r>
        <w:t xml:space="preserve">Pedregosa F, Varoquaux G, Gramfort A, et al. Scikit-learn: machine learning in Python. J Mach Learn Res. 2011;12:2825-2830.</w:t>
      </w:r>
    </w:p>
    <w:p>
      <w:pPr>
        <w:pStyle w:val="Compact"/>
        <w:numPr>
          <w:ilvl w:val="0"/>
          <w:numId w:val="1001"/>
        </w:numPr>
      </w:pPr>
      <w:r>
        <w:t xml:space="preserve">Paszke A, Gross S, Massa F, et al. PyTorch: an imperative style, high-performance deep learning library. In: NeurIPS. 2019. arXiv:1912.01703.</w:t>
      </w:r>
    </w:p>
    <w:p>
      <w:pPr>
        <w:pStyle w:val="Compact"/>
        <w:numPr>
          <w:ilvl w:val="0"/>
          <w:numId w:val="1001"/>
        </w:numPr>
      </w:pPr>
      <w:r>
        <w:t xml:space="preserve">Tejani AS, Klontzas ME, Gatti AA, et al. Checklist for Artificial Intelligence in Medical Imaging (CLAIM): 2024 update. Radiol Artif Intell. 2024;6(4):e240300.</w:t>
      </w:r>
    </w:p>
    <w:p>
      <w:pPr>
        <w:pStyle w:val="Compact"/>
        <w:numPr>
          <w:ilvl w:val="0"/>
          <w:numId w:val="1001"/>
        </w:numPr>
      </w:pPr>
      <w:r>
        <w:t xml:space="preserve">Collins GS, Moons KGM, Dhiman P, et al. TRIPOD+AI statement: updated guidance for reporting clinical prediction models that use regression or machine learning methods. BMJ. 2024;385:e078378.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 agent-orchestrated, reproducibility-gated pipeline for medical-imaging CNN studies: an end-to-end worked example on a public benchmark</dc:title>
  <dc:creator>Demonstration Author</dc:creator>
  <cp:keywords/>
  <dcterms:created xsi:type="dcterms:W3CDTF">2026-07-31T14:09:43Z</dcterms:created>
  <dcterms:modified xsi:type="dcterms:W3CDTF">2026-07-31T14:09:43Z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2026-07-04</vt:lpwstr>
  </property>
</Properties>
</file>