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40DFA" w14:textId="58A2C815" w:rsidR="00102CA2" w:rsidRDefault="21A485D8" w:rsidP="0CBBA146">
      <w:pPr>
        <w:pStyle w:val="Heading3"/>
        <w:spacing w:before="280"/>
        <w:rPr>
          <w:rFonts w:ascii="Times New Roman" w:eastAsia="Times New Roman" w:hAnsi="Times New Roman" w:cs="Times New Roman"/>
          <w:b/>
          <w:bCs/>
          <w:color w:val="000000" w:themeColor="text1"/>
          <w:sz w:val="24"/>
          <w:szCs w:val="24"/>
        </w:rPr>
      </w:pPr>
      <w:r w:rsidRPr="0CBBA146">
        <w:rPr>
          <w:rFonts w:ascii="Times New Roman" w:eastAsia="Times New Roman" w:hAnsi="Times New Roman" w:cs="Times New Roman"/>
          <w:b/>
          <w:bCs/>
          <w:color w:val="000000" w:themeColor="text1"/>
          <w:sz w:val="24"/>
          <w:szCs w:val="24"/>
        </w:rPr>
        <w:t>Research Background</w:t>
      </w:r>
    </w:p>
    <w:p w14:paraId="610FA1CE" w14:textId="09DA3991" w:rsidR="00102CA2" w:rsidRDefault="21A485D8" w:rsidP="0CBBA146">
      <w:pPr>
        <w:pStyle w:val="Heading3"/>
        <w:spacing w:before="280"/>
        <w:rPr>
          <w:rFonts w:ascii="Times New Roman" w:eastAsia="Times New Roman" w:hAnsi="Times New Roman" w:cs="Times New Roman"/>
          <w:color w:val="000000" w:themeColor="text1"/>
          <w:sz w:val="24"/>
          <w:szCs w:val="24"/>
        </w:rPr>
      </w:pPr>
      <w:r w:rsidRPr="0CBBA146">
        <w:rPr>
          <w:rFonts w:ascii="Times New Roman" w:eastAsia="Times New Roman" w:hAnsi="Times New Roman" w:cs="Times New Roman"/>
          <w:color w:val="000000" w:themeColor="text1"/>
          <w:sz w:val="24"/>
          <w:szCs w:val="24"/>
        </w:rPr>
        <w:t>In concrete engineering, designing a mix involves proportioning fine and coarse aggregates, cementitious materials, and water to meet specific performance criteria like workability, strength, and durability. State DOT specifications define these classes to standardize construction for varying environments, from high-traffic pavements to structural bridge components.</w:t>
      </w:r>
    </w:p>
    <w:p w14:paraId="514DC057" w14:textId="740A7084" w:rsidR="00102CA2" w:rsidRDefault="697AD9F5" w:rsidP="146D1E27">
      <w:pPr>
        <w:pStyle w:val="Heading3"/>
        <w:spacing w:before="280"/>
      </w:pPr>
      <w:r w:rsidRPr="146D1E27">
        <w:rPr>
          <w:rFonts w:ascii="Times New Roman" w:eastAsia="Times New Roman" w:hAnsi="Times New Roman" w:cs="Times New Roman"/>
          <w:b/>
          <w:bCs/>
          <w:color w:val="000000" w:themeColor="text1"/>
          <w:sz w:val="26"/>
          <w:szCs w:val="26"/>
        </w:rPr>
        <w:t>1. Class 47BD Concrete (Bridge Decks)</w:t>
      </w:r>
    </w:p>
    <w:p w14:paraId="7C66B2C4" w14:textId="12D21EBF" w:rsidR="00102CA2" w:rsidRDefault="21A485D8" w:rsidP="0CBBA146">
      <w:p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This mix is specifically designed for bridge decks, featuring a higher cementitious material content and a lower water-to-cement ratio to increase durability and reduce permeability.</w:t>
      </w:r>
    </w:p>
    <w:p w14:paraId="784984F3" w14:textId="67DB768A"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Cementitious Materials: 658 lb/yd³ (minimum).</w:t>
      </w:r>
    </w:p>
    <w:p w14:paraId="67B2B09C" w14:textId="23742C2A"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Aggregate: 2,500 lb/yd³ (minimum) to 3,000 lb/yd³ (maximum).</w:t>
      </w:r>
    </w:p>
    <w:p w14:paraId="5DE73CED" w14:textId="4779B5E3"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Air Content: 6.5% to 9.0%.</w:t>
      </w:r>
    </w:p>
    <w:p w14:paraId="4614C2F4" w14:textId="52051355"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Maximum Water/Cement Ratio: 0.42 lb/lb (typical NDOT standard for 47BD).</w:t>
      </w:r>
    </w:p>
    <w:p w14:paraId="3849FF80" w14:textId="0D43DC47"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Minimum Required Strength: 4,000 psi (at 28 days).</w:t>
      </w:r>
    </w:p>
    <w:p w14:paraId="75EF4362" w14:textId="2F4D6A4C"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Common Use: Bridge decks and bridge approach slabs.</w:t>
      </w:r>
    </w:p>
    <w:p w14:paraId="7383B417" w14:textId="7B74424C" w:rsidR="00102CA2" w:rsidRDefault="21A485D8" w:rsidP="0CBBA146">
      <w:pPr>
        <w:pStyle w:val="ListParagraph"/>
        <w:numPr>
          <w:ilvl w:val="0"/>
          <w:numId w:val="4"/>
        </w:numPr>
        <w:spacing w:before="240" w:after="240"/>
        <w:rPr>
          <w:rFonts w:ascii="Times New Roman" w:eastAsia="Times New Roman" w:hAnsi="Times New Roman" w:cs="Times New Roman"/>
          <w:color w:val="000000" w:themeColor="text1"/>
        </w:rPr>
      </w:pPr>
      <w:r w:rsidRPr="00755FCC">
        <w:rPr>
          <w:rFonts w:ascii="Times New Roman" w:eastAsia="Times New Roman" w:hAnsi="Times New Roman" w:cs="Times New Roman"/>
          <w:b/>
          <w:bCs/>
          <w:color w:val="000000" w:themeColor="text1"/>
        </w:rPr>
        <w:t>Reference</w:t>
      </w:r>
      <w:r w:rsidRPr="0CBBA146">
        <w:rPr>
          <w:rFonts w:ascii="Times New Roman" w:eastAsia="Times New Roman" w:hAnsi="Times New Roman" w:cs="Times New Roman"/>
          <w:color w:val="000000" w:themeColor="text1"/>
        </w:rPr>
        <w:t>:</w:t>
      </w:r>
      <w:hyperlink r:id="rId5">
        <w:r w:rsidRPr="0CBBA146">
          <w:rPr>
            <w:rStyle w:val="Hyperlink"/>
            <w:rFonts w:ascii="Times New Roman" w:eastAsia="Times New Roman" w:hAnsi="Times New Roman" w:cs="Times New Roman"/>
            <w:color w:val="000000" w:themeColor="text1"/>
            <w:u w:val="none"/>
          </w:rPr>
          <w:t xml:space="preserve"> </w:t>
        </w:r>
        <w:r w:rsidRPr="0CBBA146">
          <w:rPr>
            <w:rStyle w:val="Hyperlink"/>
            <w:rFonts w:ascii="Times New Roman" w:eastAsia="Times New Roman" w:hAnsi="Times New Roman" w:cs="Times New Roman"/>
            <w:color w:val="1155CC"/>
            <w:u w:val="none"/>
          </w:rPr>
          <w:t>NDOT 2017 Standard Specifications Table 1002.02</w:t>
        </w:r>
      </w:hyperlink>
      <w:r w:rsidRPr="0CBBA146">
        <w:rPr>
          <w:rFonts w:ascii="Times New Roman" w:eastAsia="Times New Roman" w:hAnsi="Times New Roman" w:cs="Times New Roman"/>
          <w:color w:val="000000" w:themeColor="text1"/>
        </w:rPr>
        <w:t>.</w:t>
      </w:r>
    </w:p>
    <w:p w14:paraId="46E3E8DB" w14:textId="543916CF" w:rsidR="00102CA2" w:rsidRDefault="21A485D8" w:rsidP="0CBBA146">
      <w:pPr>
        <w:pStyle w:val="Heading3"/>
        <w:spacing w:before="280"/>
        <w:rPr>
          <w:rFonts w:ascii="Times New Roman" w:eastAsia="Times New Roman" w:hAnsi="Times New Roman" w:cs="Times New Roman"/>
          <w:b/>
          <w:bCs/>
          <w:color w:val="000000" w:themeColor="text1"/>
          <w:sz w:val="24"/>
          <w:szCs w:val="24"/>
        </w:rPr>
      </w:pPr>
      <w:r w:rsidRPr="0CBBA146">
        <w:rPr>
          <w:rFonts w:ascii="Times New Roman" w:eastAsia="Times New Roman" w:hAnsi="Times New Roman" w:cs="Times New Roman"/>
          <w:b/>
          <w:bCs/>
          <w:color w:val="000000" w:themeColor="text1"/>
          <w:sz w:val="24"/>
          <w:szCs w:val="24"/>
        </w:rPr>
        <w:t>2. Class 47B-HE Concrete (High Early Strength)</w:t>
      </w:r>
    </w:p>
    <w:p w14:paraId="60688319" w14:textId="055EE1F8" w:rsidR="00102CA2" w:rsidRDefault="21A485D8" w:rsidP="0CBBA146">
      <w:p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 xml:space="preserve">This mix is used when rapid strength gain is required, such </w:t>
      </w:r>
      <w:r w:rsidR="50846C5A" w:rsidRPr="0CBBA146">
        <w:rPr>
          <w:rFonts w:ascii="Times New Roman" w:eastAsia="Times New Roman" w:hAnsi="Times New Roman" w:cs="Times New Roman"/>
          <w:color w:val="000000" w:themeColor="text1"/>
        </w:rPr>
        <w:t>as</w:t>
      </w:r>
      <w:r w:rsidRPr="0CBBA146">
        <w:rPr>
          <w:rFonts w:ascii="Times New Roman" w:eastAsia="Times New Roman" w:hAnsi="Times New Roman" w:cs="Times New Roman"/>
          <w:color w:val="000000" w:themeColor="text1"/>
        </w:rPr>
        <w:t xml:space="preserve"> pavement repairs or intersections that need to be opened to traffic quickly.</w:t>
      </w:r>
    </w:p>
    <w:p w14:paraId="5CC67095" w14:textId="418A8A1D"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Cementitious Materials: 752 lb/yd³ (minimum).</w:t>
      </w:r>
    </w:p>
    <w:p w14:paraId="2E7D7557" w14:textId="02557A7D"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Aggregate: 2,500 lb/yd³ (minimum) to 3,000 lb/yd³ (maximum).</w:t>
      </w:r>
    </w:p>
    <w:p w14:paraId="7FA1A8C0" w14:textId="4E2E64AD"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Air Content: 6.5% to 9.0%.</w:t>
      </w:r>
    </w:p>
    <w:p w14:paraId="0F4998C3" w14:textId="5FD2C268"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Maximum Water/Cement Ratio: 0.40 lb/lb.</w:t>
      </w:r>
    </w:p>
    <w:p w14:paraId="7380A100" w14:textId="555D0E53"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Minimum Required Strength: 3,500 psi (typically required in as little as 48 hours depending on project needs).</w:t>
      </w:r>
    </w:p>
    <w:p w14:paraId="7FB65D48" w14:textId="73F0D3B2" w:rsidR="00102CA2" w:rsidRDefault="21A485D8" w:rsidP="0CBBA146">
      <w:pPr>
        <w:pStyle w:val="ListParagraph"/>
        <w:numPr>
          <w:ilvl w:val="0"/>
          <w:numId w:val="3"/>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Common Use: Rapid-entry pavement repairs and "High Early" strength applications.</w:t>
      </w:r>
    </w:p>
    <w:p w14:paraId="5D55FE78" w14:textId="1BF85114" w:rsidR="00102CA2" w:rsidRPr="00023733" w:rsidRDefault="46214CDF" w:rsidP="00023733">
      <w:pPr>
        <w:pStyle w:val="ListParagraph"/>
        <w:numPr>
          <w:ilvl w:val="0"/>
          <w:numId w:val="3"/>
        </w:numPr>
        <w:spacing w:before="240" w:after="240"/>
        <w:rPr>
          <w:rFonts w:ascii="Times New Roman" w:eastAsia="Times New Roman" w:hAnsi="Times New Roman" w:cs="Times New Roman"/>
          <w:color w:val="000000" w:themeColor="text1"/>
        </w:rPr>
      </w:pPr>
      <w:r w:rsidRPr="00755FCC">
        <w:rPr>
          <w:rFonts w:ascii="Times New Roman" w:eastAsia="Times New Roman" w:hAnsi="Times New Roman" w:cs="Times New Roman"/>
          <w:b/>
          <w:bCs/>
          <w:color w:val="000000" w:themeColor="text1"/>
        </w:rPr>
        <w:t>Reference</w:t>
      </w:r>
      <w:r w:rsidRPr="0CBBA146">
        <w:rPr>
          <w:rFonts w:ascii="Times New Roman" w:eastAsia="Times New Roman" w:hAnsi="Times New Roman" w:cs="Times New Roman"/>
          <w:color w:val="000000" w:themeColor="text1"/>
        </w:rPr>
        <w:t xml:space="preserve">: </w:t>
      </w:r>
      <w:hyperlink r:id="rId6">
        <w:r w:rsidRPr="0CBBA146">
          <w:rPr>
            <w:rFonts w:ascii="Times New Roman" w:eastAsia="Times New Roman" w:hAnsi="Times New Roman" w:cs="Times New Roman"/>
            <w:color w:val="467886"/>
            <w:u w:val="single"/>
          </w:rPr>
          <w:t>Nebraska DOT (2017) Standard Specifications, Section 706 (Concrete Bridge Floors) and Table 1002.02</w:t>
        </w:r>
      </w:hyperlink>
    </w:p>
    <w:p w14:paraId="706FAE95" w14:textId="47E5AF80" w:rsidR="00102CA2" w:rsidRDefault="00102CA2" w:rsidP="0CBBA146">
      <w:pPr>
        <w:pStyle w:val="ListParagraph"/>
        <w:spacing w:before="240" w:after="240"/>
        <w:rPr>
          <w:rFonts w:ascii="Times New Roman" w:eastAsia="Times New Roman" w:hAnsi="Times New Roman" w:cs="Times New Roman"/>
          <w:color w:val="000000" w:themeColor="text1"/>
        </w:rPr>
      </w:pPr>
    </w:p>
    <w:p w14:paraId="4CF17869" w14:textId="329B5EBF" w:rsidR="00102CA2" w:rsidRDefault="00023733" w:rsidP="0CBBA146">
      <w:pPr>
        <w:pStyle w:val="Heading3"/>
        <w:spacing w:before="280"/>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3.</w:t>
      </w:r>
      <w:r w:rsidR="21A485D8" w:rsidRPr="0CBBA146">
        <w:rPr>
          <w:rFonts w:ascii="Times New Roman" w:eastAsia="Times New Roman" w:hAnsi="Times New Roman" w:cs="Times New Roman"/>
          <w:b/>
          <w:bCs/>
          <w:color w:val="000000" w:themeColor="text1"/>
          <w:sz w:val="24"/>
          <w:szCs w:val="24"/>
        </w:rPr>
        <w:t xml:space="preserve"> Iowa DOT Class C (Structural &amp; Paving)</w:t>
      </w:r>
    </w:p>
    <w:p w14:paraId="49D556C6" w14:textId="47DF7854" w:rsidR="00102CA2" w:rsidRDefault="21A485D8" w:rsidP="0CBBA146">
      <w:p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Iowa's primary structural mix used for highway paving and box culverts.</w:t>
      </w:r>
    </w:p>
    <w:p w14:paraId="78819593" w14:textId="03C8C21E"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lastRenderedPageBreak/>
        <w:t>Total Cementitious Materials: 611 lb/cy (approximate based on standard Iowa 50/50 split).</w:t>
      </w:r>
    </w:p>
    <w:p w14:paraId="48BA516A" w14:textId="7E94BABE"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Aggregate: ~3,100 lb/cy (total combined dry weight).</w:t>
      </w:r>
    </w:p>
    <w:p w14:paraId="6B0B595D" w14:textId="2D754B75"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Target Air Content: 6.5% (± 1.5%).</w:t>
      </w:r>
    </w:p>
    <w:p w14:paraId="2B5BA158" w14:textId="00AA8C14"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Maximum Water/Cement (w/c) Ratio: 0.488 lb/lb (Target typically 0.43).</w:t>
      </w:r>
    </w:p>
    <w:p w14:paraId="4DAFFA8F" w14:textId="64AC9FBA"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Minimum Required Strength: 4,000 psi (at 28 days).</w:t>
      </w:r>
    </w:p>
    <w:p w14:paraId="36288745" w14:textId="544FFB7B" w:rsidR="00102CA2" w:rsidRDefault="21A485D8" w:rsidP="0CBBA146">
      <w:pPr>
        <w:pStyle w:val="ListParagraph"/>
        <w:numPr>
          <w:ilvl w:val="0"/>
          <w:numId w:val="2"/>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b/>
          <w:bCs/>
          <w:color w:val="000000" w:themeColor="text1"/>
        </w:rPr>
        <w:t>Reference:</w:t>
      </w:r>
      <w:hyperlink r:id="rId7">
        <w:r w:rsidRPr="0CBBA146">
          <w:rPr>
            <w:rStyle w:val="Hyperlink"/>
            <w:rFonts w:ascii="Times New Roman" w:eastAsia="Times New Roman" w:hAnsi="Times New Roman" w:cs="Times New Roman"/>
            <w:color w:val="000000" w:themeColor="text1"/>
            <w:u w:val="none"/>
          </w:rPr>
          <w:t xml:space="preserve"> </w:t>
        </w:r>
        <w:r w:rsidRPr="0CBBA146">
          <w:rPr>
            <w:rStyle w:val="Hyperlink"/>
            <w:rFonts w:ascii="Times New Roman" w:eastAsia="Times New Roman" w:hAnsi="Times New Roman" w:cs="Times New Roman"/>
            <w:color w:val="1155CC"/>
            <w:u w:val="none"/>
          </w:rPr>
          <w:t>Iowa DOT Standard Specifications Section 2403</w:t>
        </w:r>
      </w:hyperlink>
      <w:r w:rsidRPr="0CBBA146">
        <w:rPr>
          <w:rFonts w:ascii="Times New Roman" w:eastAsia="Times New Roman" w:hAnsi="Times New Roman" w:cs="Times New Roman"/>
          <w:color w:val="000000" w:themeColor="text1"/>
        </w:rPr>
        <w:t>.</w:t>
      </w:r>
    </w:p>
    <w:p w14:paraId="2A20EABC" w14:textId="718D5888" w:rsidR="00102CA2" w:rsidRDefault="21A485D8" w:rsidP="0CBBA146">
      <w:pPr>
        <w:pStyle w:val="Heading3"/>
        <w:spacing w:before="280"/>
        <w:rPr>
          <w:rFonts w:ascii="Times New Roman" w:eastAsia="Times New Roman" w:hAnsi="Times New Roman" w:cs="Times New Roman"/>
          <w:b/>
          <w:bCs/>
          <w:color w:val="000000" w:themeColor="text1"/>
          <w:sz w:val="24"/>
          <w:szCs w:val="24"/>
        </w:rPr>
      </w:pPr>
      <w:r w:rsidRPr="0CBBA146">
        <w:rPr>
          <w:rFonts w:ascii="Times New Roman" w:eastAsia="Times New Roman" w:hAnsi="Times New Roman" w:cs="Times New Roman"/>
          <w:b/>
          <w:bCs/>
          <w:color w:val="000000" w:themeColor="text1"/>
          <w:sz w:val="24"/>
          <w:szCs w:val="24"/>
        </w:rPr>
        <w:t>4</w:t>
      </w:r>
      <w:r w:rsidR="00023733">
        <w:rPr>
          <w:rFonts w:ascii="Times New Roman" w:eastAsia="Times New Roman" w:hAnsi="Times New Roman" w:cs="Times New Roman"/>
          <w:b/>
          <w:bCs/>
          <w:color w:val="000000" w:themeColor="text1"/>
          <w:sz w:val="24"/>
          <w:szCs w:val="24"/>
        </w:rPr>
        <w:t xml:space="preserve">. </w:t>
      </w:r>
      <w:r w:rsidRPr="0CBBA146">
        <w:rPr>
          <w:rFonts w:ascii="Times New Roman" w:eastAsia="Times New Roman" w:hAnsi="Times New Roman" w:cs="Times New Roman"/>
          <w:b/>
          <w:bCs/>
          <w:color w:val="000000" w:themeColor="text1"/>
          <w:sz w:val="24"/>
          <w:szCs w:val="24"/>
        </w:rPr>
        <w:t>Colorado DOT (CDOT) Class D (Structural)</w:t>
      </w:r>
    </w:p>
    <w:p w14:paraId="21C09976" w14:textId="0C0AD543" w:rsidR="00102CA2" w:rsidRDefault="21A485D8" w:rsidP="0CBBA146">
      <w:p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A high-density mix used for bridge decks, rails, and structural elements requiring higher strength.</w:t>
      </w:r>
    </w:p>
    <w:p w14:paraId="77E44C77" w14:textId="4A52B0AB"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Cementitious Materials: 615 lb/cy (minimum).</w:t>
      </w:r>
    </w:p>
    <w:p w14:paraId="111F6C72" w14:textId="652BEB76"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Total Aggregate: ~3,000 lb/cy (total dry weight).</w:t>
      </w:r>
    </w:p>
    <w:p w14:paraId="00312CCF" w14:textId="797CF67A"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Target Air Content: 5.0% to 8.0%.</w:t>
      </w:r>
    </w:p>
    <w:p w14:paraId="4F19B0D5" w14:textId="7101B220"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Maximum Water/Cement (w/c) Ratio: 0.44 lb/lb.</w:t>
      </w:r>
    </w:p>
    <w:p w14:paraId="26F7D8B5" w14:textId="6112C9E7"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CBBA146">
        <w:rPr>
          <w:rFonts w:ascii="Times New Roman" w:eastAsia="Times New Roman" w:hAnsi="Times New Roman" w:cs="Times New Roman"/>
          <w:color w:val="000000" w:themeColor="text1"/>
        </w:rPr>
        <w:t>Minimum Required Strength: 4,500 psi.</w:t>
      </w:r>
    </w:p>
    <w:p w14:paraId="3AB9B1A2" w14:textId="27353183" w:rsidR="00102CA2" w:rsidRDefault="21A485D8" w:rsidP="0CBBA146">
      <w:pPr>
        <w:pStyle w:val="ListParagraph"/>
        <w:numPr>
          <w:ilvl w:val="0"/>
          <w:numId w:val="1"/>
        </w:numPr>
        <w:spacing w:before="240" w:after="240"/>
        <w:rPr>
          <w:rFonts w:ascii="Times New Roman" w:eastAsia="Times New Roman" w:hAnsi="Times New Roman" w:cs="Times New Roman"/>
          <w:color w:val="000000" w:themeColor="text1"/>
        </w:rPr>
      </w:pPr>
      <w:r w:rsidRPr="00755FCC">
        <w:rPr>
          <w:rFonts w:ascii="Times New Roman" w:eastAsia="Times New Roman" w:hAnsi="Times New Roman" w:cs="Times New Roman"/>
          <w:b/>
          <w:bCs/>
          <w:color w:val="000000" w:themeColor="text1"/>
        </w:rPr>
        <w:t>Reference</w:t>
      </w:r>
      <w:r w:rsidRPr="0CBBA146">
        <w:rPr>
          <w:rFonts w:ascii="Times New Roman" w:eastAsia="Times New Roman" w:hAnsi="Times New Roman" w:cs="Times New Roman"/>
          <w:color w:val="000000" w:themeColor="text1"/>
        </w:rPr>
        <w:t>:</w:t>
      </w:r>
      <w:hyperlink r:id="rId8">
        <w:r w:rsidRPr="0CBBA146">
          <w:rPr>
            <w:rStyle w:val="Hyperlink"/>
            <w:rFonts w:ascii="Times New Roman" w:eastAsia="Times New Roman" w:hAnsi="Times New Roman" w:cs="Times New Roman"/>
            <w:color w:val="000000" w:themeColor="text1"/>
            <w:u w:val="none"/>
          </w:rPr>
          <w:t xml:space="preserve"> </w:t>
        </w:r>
        <w:r w:rsidRPr="0CBBA146">
          <w:rPr>
            <w:rStyle w:val="Hyperlink"/>
            <w:rFonts w:ascii="Times New Roman" w:eastAsia="Times New Roman" w:hAnsi="Times New Roman" w:cs="Times New Roman"/>
            <w:color w:val="1155CC"/>
            <w:u w:val="none"/>
          </w:rPr>
          <w:t>CDOT 2023 Standard Specifications Section 601, Table 601-1</w:t>
        </w:r>
      </w:hyperlink>
      <w:r w:rsidRPr="0CBBA146">
        <w:rPr>
          <w:rFonts w:ascii="Times New Roman" w:eastAsia="Times New Roman" w:hAnsi="Times New Roman" w:cs="Times New Roman"/>
          <w:color w:val="000000" w:themeColor="text1"/>
        </w:rPr>
        <w:t>.</w:t>
      </w:r>
    </w:p>
    <w:p w14:paraId="7FACB1C2" w14:textId="6DDEE609" w:rsidR="00102CA2" w:rsidRDefault="00102CA2" w:rsidP="0CBBA146">
      <w:pPr>
        <w:pStyle w:val="ListParagraph"/>
        <w:spacing w:before="240" w:after="240"/>
        <w:rPr>
          <w:rFonts w:ascii="Times New Roman" w:eastAsia="Times New Roman" w:hAnsi="Times New Roman" w:cs="Times New Roman"/>
          <w:color w:val="000000" w:themeColor="text1"/>
        </w:rPr>
      </w:pPr>
    </w:p>
    <w:p w14:paraId="150AA4EE" w14:textId="379C1C98" w:rsidR="00102CA2" w:rsidRDefault="7E8D9752" w:rsidP="0CBBA146">
      <w:pPr>
        <w:spacing w:before="240" w:after="240"/>
        <w:jc w:val="center"/>
        <w:rPr>
          <w:rFonts w:ascii="Times New Roman" w:eastAsia="Times New Roman" w:hAnsi="Times New Roman" w:cs="Times New Roman"/>
          <w:color w:val="0070C0"/>
        </w:rPr>
      </w:pPr>
      <w:r w:rsidRPr="0CBBA146">
        <w:rPr>
          <w:rFonts w:ascii="Times New Roman" w:eastAsia="Times New Roman" w:hAnsi="Times New Roman" w:cs="Times New Roman"/>
          <w:color w:val="0070C0"/>
        </w:rPr>
        <w:t>Table 1. Summary of Input Parameters for Four Selected DOT Concrete Mix Designs</w:t>
      </w:r>
    </w:p>
    <w:tbl>
      <w:tblPr>
        <w:tblStyle w:val="TableGrid"/>
        <w:tblW w:w="0" w:type="auto"/>
        <w:jc w:val="center"/>
        <w:tblLook w:val="06A0" w:firstRow="1" w:lastRow="0" w:firstColumn="1" w:lastColumn="0" w:noHBand="1" w:noVBand="1"/>
      </w:tblPr>
      <w:tblGrid>
        <w:gridCol w:w="2106"/>
        <w:gridCol w:w="1590"/>
        <w:gridCol w:w="1620"/>
        <w:gridCol w:w="1770"/>
        <w:gridCol w:w="1950"/>
      </w:tblGrid>
      <w:tr w:rsidR="146D1E27" w14:paraId="1F1ED73A" w14:textId="77777777" w:rsidTr="0CBBA146">
        <w:trPr>
          <w:trHeight w:val="300"/>
          <w:jc w:val="center"/>
        </w:trPr>
        <w:tc>
          <w:tcPr>
            <w:tcW w:w="2106" w:type="dxa"/>
          </w:tcPr>
          <w:p w14:paraId="5FC86346" w14:textId="74C3B878" w:rsidR="146D1E27" w:rsidRDefault="121AEB9E" w:rsidP="0CBBA146">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Input Parameter</w:t>
            </w:r>
          </w:p>
        </w:tc>
        <w:tc>
          <w:tcPr>
            <w:tcW w:w="1590" w:type="dxa"/>
          </w:tcPr>
          <w:p w14:paraId="7A06A93D" w14:textId="32437606" w:rsidR="146D1E27" w:rsidRDefault="121AEB9E" w:rsidP="0CBBA146">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NDOT 47B</w:t>
            </w:r>
          </w:p>
        </w:tc>
        <w:tc>
          <w:tcPr>
            <w:tcW w:w="1620" w:type="dxa"/>
          </w:tcPr>
          <w:p w14:paraId="2A13F140" w14:textId="4E0735A1" w:rsidR="146D1E27" w:rsidRDefault="121AEB9E" w:rsidP="0CBBA146">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NDOT 47BD</w:t>
            </w:r>
          </w:p>
        </w:tc>
        <w:tc>
          <w:tcPr>
            <w:tcW w:w="1770" w:type="dxa"/>
          </w:tcPr>
          <w:p w14:paraId="7EEB5BEA" w14:textId="01FFD207" w:rsidR="146D1E27" w:rsidRDefault="121AEB9E" w:rsidP="0CBBA146">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Iowa Class C</w:t>
            </w:r>
          </w:p>
        </w:tc>
        <w:tc>
          <w:tcPr>
            <w:tcW w:w="1950" w:type="dxa"/>
          </w:tcPr>
          <w:p w14:paraId="63AEB079" w14:textId="6E9E27E5" w:rsidR="146D1E27" w:rsidRDefault="121AEB9E" w:rsidP="0CBBA146">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CDOT Class D</w:t>
            </w:r>
          </w:p>
        </w:tc>
      </w:tr>
      <w:tr w:rsidR="146D1E27" w14:paraId="07AD9E00" w14:textId="77777777" w:rsidTr="0CBBA146">
        <w:trPr>
          <w:trHeight w:val="300"/>
          <w:jc w:val="center"/>
        </w:trPr>
        <w:tc>
          <w:tcPr>
            <w:tcW w:w="2106" w:type="dxa"/>
          </w:tcPr>
          <w:p w14:paraId="2E4024FA" w14:textId="1E31E634" w:rsidR="146D1E27" w:rsidRDefault="121AEB9E" w:rsidP="0CBBA146">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Cement (lb/cy)</w:t>
            </w:r>
          </w:p>
        </w:tc>
        <w:tc>
          <w:tcPr>
            <w:tcW w:w="1590" w:type="dxa"/>
          </w:tcPr>
          <w:p w14:paraId="5D4FCB3B" w14:textId="3A5E2301"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564</w:t>
            </w:r>
          </w:p>
        </w:tc>
        <w:tc>
          <w:tcPr>
            <w:tcW w:w="1620" w:type="dxa"/>
          </w:tcPr>
          <w:p w14:paraId="4EB75DB6" w14:textId="51465DE0"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658</w:t>
            </w:r>
          </w:p>
        </w:tc>
        <w:tc>
          <w:tcPr>
            <w:tcW w:w="1770" w:type="dxa"/>
          </w:tcPr>
          <w:p w14:paraId="1FCDD130" w14:textId="3931D3C2"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611</w:t>
            </w:r>
          </w:p>
        </w:tc>
        <w:tc>
          <w:tcPr>
            <w:tcW w:w="1950" w:type="dxa"/>
          </w:tcPr>
          <w:p w14:paraId="054ABFBD" w14:textId="21C8A2DB"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615</w:t>
            </w:r>
          </w:p>
        </w:tc>
      </w:tr>
      <w:tr w:rsidR="146D1E27" w14:paraId="5145B8CD" w14:textId="77777777" w:rsidTr="0CBBA146">
        <w:trPr>
          <w:trHeight w:val="300"/>
          <w:jc w:val="center"/>
        </w:trPr>
        <w:tc>
          <w:tcPr>
            <w:tcW w:w="2106" w:type="dxa"/>
          </w:tcPr>
          <w:p w14:paraId="468C970B" w14:textId="0C1276E4" w:rsidR="146D1E27" w:rsidRDefault="121AEB9E" w:rsidP="0CBBA146">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Max w/c Ratio</w:t>
            </w:r>
          </w:p>
        </w:tc>
        <w:tc>
          <w:tcPr>
            <w:tcW w:w="1590" w:type="dxa"/>
          </w:tcPr>
          <w:p w14:paraId="660587A8" w14:textId="4327D8B5"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0.45</w:t>
            </w:r>
          </w:p>
        </w:tc>
        <w:tc>
          <w:tcPr>
            <w:tcW w:w="1620" w:type="dxa"/>
          </w:tcPr>
          <w:p w14:paraId="4E4D7D38" w14:textId="09270F43"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0.42</w:t>
            </w:r>
          </w:p>
        </w:tc>
        <w:tc>
          <w:tcPr>
            <w:tcW w:w="1770" w:type="dxa"/>
          </w:tcPr>
          <w:p w14:paraId="51A5464C" w14:textId="76501DDF"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0.4</w:t>
            </w:r>
            <w:r w:rsidR="7DDFFD9A" w:rsidRPr="0CBBA146">
              <w:rPr>
                <w:rFonts w:ascii="Times New Roman" w:eastAsia="Times New Roman" w:hAnsi="Times New Roman" w:cs="Times New Roman"/>
                <w:color w:val="1F1F1F"/>
              </w:rPr>
              <w:t>88</w:t>
            </w:r>
          </w:p>
        </w:tc>
        <w:tc>
          <w:tcPr>
            <w:tcW w:w="1950" w:type="dxa"/>
          </w:tcPr>
          <w:p w14:paraId="355E6625" w14:textId="5A0A3D95"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0.44</w:t>
            </w:r>
          </w:p>
        </w:tc>
      </w:tr>
      <w:tr w:rsidR="146D1E27" w14:paraId="4569FD07" w14:textId="77777777" w:rsidTr="0CBBA146">
        <w:trPr>
          <w:trHeight w:val="300"/>
          <w:jc w:val="center"/>
        </w:trPr>
        <w:tc>
          <w:tcPr>
            <w:tcW w:w="2106" w:type="dxa"/>
          </w:tcPr>
          <w:p w14:paraId="4245A96D" w14:textId="1B418A8A" w:rsidR="146D1E27" w:rsidRDefault="121AEB9E" w:rsidP="0CBBA146">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Air Content (%)</w:t>
            </w:r>
          </w:p>
        </w:tc>
        <w:tc>
          <w:tcPr>
            <w:tcW w:w="1590" w:type="dxa"/>
          </w:tcPr>
          <w:p w14:paraId="10222D5D" w14:textId="153BD255"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5.0–7.5%</w:t>
            </w:r>
          </w:p>
        </w:tc>
        <w:tc>
          <w:tcPr>
            <w:tcW w:w="1620" w:type="dxa"/>
          </w:tcPr>
          <w:p w14:paraId="3B298106" w14:textId="2801DE99"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5.0–7.5%</w:t>
            </w:r>
          </w:p>
        </w:tc>
        <w:tc>
          <w:tcPr>
            <w:tcW w:w="1770" w:type="dxa"/>
          </w:tcPr>
          <w:p w14:paraId="3E0D5EC1" w14:textId="0ECEE952"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5.0–8.0%</w:t>
            </w:r>
          </w:p>
        </w:tc>
        <w:tc>
          <w:tcPr>
            <w:tcW w:w="1950" w:type="dxa"/>
          </w:tcPr>
          <w:p w14:paraId="1A5A87F8" w14:textId="392F63F3"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5.0–8.0%</w:t>
            </w:r>
          </w:p>
        </w:tc>
      </w:tr>
      <w:tr w:rsidR="146D1E27" w14:paraId="260E968C" w14:textId="77777777" w:rsidTr="0CBBA146">
        <w:trPr>
          <w:trHeight w:val="300"/>
          <w:jc w:val="center"/>
        </w:trPr>
        <w:tc>
          <w:tcPr>
            <w:tcW w:w="2106" w:type="dxa"/>
          </w:tcPr>
          <w:p w14:paraId="1B5E252E" w14:textId="5B65D6A0" w:rsidR="146D1E27" w:rsidRDefault="121AEB9E" w:rsidP="0CBBA146">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Min. Strength (psi)</w:t>
            </w:r>
          </w:p>
        </w:tc>
        <w:tc>
          <w:tcPr>
            <w:tcW w:w="1590" w:type="dxa"/>
          </w:tcPr>
          <w:p w14:paraId="699C9F61" w14:textId="65C86937"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3,500</w:t>
            </w:r>
          </w:p>
        </w:tc>
        <w:tc>
          <w:tcPr>
            <w:tcW w:w="1620" w:type="dxa"/>
          </w:tcPr>
          <w:p w14:paraId="3029BB2E" w14:textId="3FD63C0D"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4,000</w:t>
            </w:r>
          </w:p>
        </w:tc>
        <w:tc>
          <w:tcPr>
            <w:tcW w:w="1770" w:type="dxa"/>
          </w:tcPr>
          <w:p w14:paraId="007ED9DC" w14:textId="247D9605"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4,000</w:t>
            </w:r>
          </w:p>
        </w:tc>
        <w:tc>
          <w:tcPr>
            <w:tcW w:w="1950" w:type="dxa"/>
          </w:tcPr>
          <w:p w14:paraId="441F12F9" w14:textId="43433B67"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4,500</w:t>
            </w:r>
          </w:p>
        </w:tc>
      </w:tr>
      <w:tr w:rsidR="146D1E27" w14:paraId="648A62F8" w14:textId="77777777" w:rsidTr="0CBBA146">
        <w:trPr>
          <w:trHeight w:val="300"/>
          <w:jc w:val="center"/>
        </w:trPr>
        <w:tc>
          <w:tcPr>
            <w:tcW w:w="2106" w:type="dxa"/>
          </w:tcPr>
          <w:p w14:paraId="7CD60A43" w14:textId="6AD1B94F" w:rsidR="146D1E27" w:rsidRDefault="121AEB9E" w:rsidP="0CBBA146">
            <w:pPr>
              <w:rPr>
                <w:rFonts w:ascii="Times New Roman" w:eastAsia="Times New Roman" w:hAnsi="Times New Roman" w:cs="Times New Roman"/>
                <w:b/>
                <w:bCs/>
                <w:color w:val="1F1F1F"/>
              </w:rPr>
            </w:pPr>
            <w:r w:rsidRPr="0CBBA146">
              <w:rPr>
                <w:rFonts w:ascii="Times New Roman" w:eastAsia="Times New Roman" w:hAnsi="Times New Roman" w:cs="Times New Roman"/>
                <w:b/>
                <w:bCs/>
                <w:color w:val="1F1F1F"/>
              </w:rPr>
              <w:t>Primary Usage</w:t>
            </w:r>
          </w:p>
        </w:tc>
        <w:tc>
          <w:tcPr>
            <w:tcW w:w="1590" w:type="dxa"/>
          </w:tcPr>
          <w:p w14:paraId="6507E052" w14:textId="41F7E524"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Pavement</w:t>
            </w:r>
          </w:p>
        </w:tc>
        <w:tc>
          <w:tcPr>
            <w:tcW w:w="1620" w:type="dxa"/>
          </w:tcPr>
          <w:p w14:paraId="75E42829" w14:textId="3EA832DC"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Bridge Decks</w:t>
            </w:r>
          </w:p>
        </w:tc>
        <w:tc>
          <w:tcPr>
            <w:tcW w:w="1770" w:type="dxa"/>
          </w:tcPr>
          <w:p w14:paraId="3A6CA440" w14:textId="507974EA"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Culverts</w:t>
            </w:r>
          </w:p>
        </w:tc>
        <w:tc>
          <w:tcPr>
            <w:tcW w:w="1950" w:type="dxa"/>
          </w:tcPr>
          <w:p w14:paraId="69057D42" w14:textId="241597E3" w:rsidR="146D1E27" w:rsidRDefault="121AEB9E" w:rsidP="0CBBA146">
            <w:pPr>
              <w:rPr>
                <w:rFonts w:ascii="Times New Roman" w:eastAsia="Times New Roman" w:hAnsi="Times New Roman" w:cs="Times New Roman"/>
                <w:color w:val="1F1F1F"/>
              </w:rPr>
            </w:pPr>
            <w:r w:rsidRPr="0CBBA146">
              <w:rPr>
                <w:rFonts w:ascii="Times New Roman" w:eastAsia="Times New Roman" w:hAnsi="Times New Roman" w:cs="Times New Roman"/>
                <w:color w:val="1F1F1F"/>
              </w:rPr>
              <w:t>Dense Bridge Elements</w:t>
            </w:r>
          </w:p>
        </w:tc>
      </w:tr>
    </w:tbl>
    <w:p w14:paraId="0D4BEC46" w14:textId="5538540C" w:rsidR="001D2763" w:rsidRDefault="001D2763" w:rsidP="146D1E27">
      <w:pPr>
        <w:spacing w:before="240" w:after="240"/>
        <w:rPr>
          <w:rFonts w:ascii="Times New Roman" w:eastAsia="Times New Roman" w:hAnsi="Times New Roman" w:cs="Times New Roman"/>
          <w:b/>
          <w:bCs/>
          <w:color w:val="000000" w:themeColor="text1"/>
        </w:rPr>
      </w:pPr>
    </w:p>
    <w:p w14:paraId="40CA899A" w14:textId="26BD99D0" w:rsidR="00102CA2" w:rsidRDefault="001D2763" w:rsidP="001D2763">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br w:type="page"/>
      </w:r>
      <w:r w:rsidR="00755FCC">
        <w:rPr>
          <w:rFonts w:ascii="Times New Roman" w:eastAsia="Times New Roman" w:hAnsi="Times New Roman" w:cs="Times New Roman"/>
          <w:b/>
          <w:bCs/>
          <w:color w:val="000000" w:themeColor="text1"/>
        </w:rPr>
        <w:lastRenderedPageBreak/>
        <w:t>References</w:t>
      </w:r>
    </w:p>
    <w:p w14:paraId="141776A7" w14:textId="77777777" w:rsidR="00866879" w:rsidRPr="00115899" w:rsidRDefault="00866879" w:rsidP="00866879">
      <w:pPr>
        <w:spacing w:line="278" w:lineRule="auto"/>
        <w:ind w:left="720" w:hanging="720"/>
        <w:rPr>
          <w:rFonts w:ascii="Times New Roman" w:eastAsia="Times New Roman" w:hAnsi="Times New Roman" w:cs="Times New Roman"/>
          <w:color w:val="000000" w:themeColor="text1"/>
        </w:rPr>
      </w:pPr>
      <w:r w:rsidRPr="00866879">
        <w:rPr>
          <w:rFonts w:ascii="Times New Roman" w:eastAsia="Times New Roman" w:hAnsi="Times New Roman" w:cs="Times New Roman"/>
          <w:color w:val="000000" w:themeColor="text1"/>
        </w:rPr>
        <w:t xml:space="preserve">Colorado Department of Transportation. (2023). </w:t>
      </w:r>
      <w:r w:rsidRPr="00866879">
        <w:rPr>
          <w:rFonts w:ascii="Times New Roman" w:eastAsia="Times New Roman" w:hAnsi="Times New Roman" w:cs="Times New Roman"/>
          <w:i/>
          <w:iCs/>
          <w:color w:val="000000" w:themeColor="text1"/>
        </w:rPr>
        <w:t>Standard specifications for road and bridge construction: 2023 specs book</w:t>
      </w:r>
      <w:r w:rsidRPr="00866879">
        <w:rPr>
          <w:rFonts w:ascii="Times New Roman" w:eastAsia="Times New Roman" w:hAnsi="Times New Roman" w:cs="Times New Roman"/>
          <w:color w:val="000000" w:themeColor="text1"/>
        </w:rPr>
        <w:t xml:space="preserve"> (943 pp.). </w:t>
      </w:r>
      <w:hyperlink r:id="rId9" w:tgtFrame="_new" w:history="1">
        <w:r w:rsidRPr="00866879">
          <w:rPr>
            <w:rStyle w:val="Hyperlink"/>
            <w:rFonts w:ascii="Times New Roman" w:eastAsia="Times New Roman" w:hAnsi="Times New Roman" w:cs="Times New Roman"/>
          </w:rPr>
          <w:t>https://www.codot.gov/business/designsupport/cdot-construction-specifications/2023-construction-specifications/2023-specs-book/2023-cdot-specs-book.pdf</w:t>
        </w:r>
      </w:hyperlink>
    </w:p>
    <w:p w14:paraId="43B2DB74" w14:textId="33B085A9" w:rsidR="00115899" w:rsidRDefault="00115899" w:rsidP="00866879">
      <w:pPr>
        <w:spacing w:line="278" w:lineRule="auto"/>
        <w:ind w:left="720" w:hanging="720"/>
        <w:rPr>
          <w:rFonts w:ascii="Times New Roman" w:eastAsia="Times New Roman" w:hAnsi="Times New Roman" w:cs="Times New Roman"/>
          <w:color w:val="000000" w:themeColor="text1"/>
        </w:rPr>
      </w:pPr>
      <w:r w:rsidRPr="00115899">
        <w:rPr>
          <w:rFonts w:ascii="Times New Roman" w:eastAsia="Times New Roman" w:hAnsi="Times New Roman" w:cs="Times New Roman"/>
          <w:color w:val="000000" w:themeColor="text1"/>
        </w:rPr>
        <w:t xml:space="preserve">Iowa Department of Transportation. (2012). </w:t>
      </w:r>
      <w:r w:rsidRPr="00115899">
        <w:rPr>
          <w:rFonts w:ascii="Times New Roman" w:eastAsia="Times New Roman" w:hAnsi="Times New Roman" w:cs="Times New Roman"/>
          <w:i/>
          <w:iCs/>
          <w:color w:val="000000" w:themeColor="text1"/>
        </w:rPr>
        <w:t>Section 2403: Structural concrete</w:t>
      </w:r>
      <w:r w:rsidRPr="00115899">
        <w:rPr>
          <w:rFonts w:ascii="Times New Roman" w:eastAsia="Times New Roman" w:hAnsi="Times New Roman" w:cs="Times New Roman"/>
          <w:color w:val="000000" w:themeColor="text1"/>
        </w:rPr>
        <w:t xml:space="preserve"> (Standard Specifications for Highway and Bridge Construction, Series 2012). </w:t>
      </w:r>
      <w:hyperlink r:id="rId10" w:tgtFrame="_new" w:history="1">
        <w:r w:rsidRPr="00115899">
          <w:rPr>
            <w:rStyle w:val="Hyperlink"/>
            <w:rFonts w:ascii="Times New Roman" w:eastAsia="Times New Roman" w:hAnsi="Times New Roman" w:cs="Times New Roman"/>
          </w:rPr>
          <w:t>https://ia.iowadot.gov/erl/archiveoct2012/GS/content/2403.pdf</w:t>
        </w:r>
      </w:hyperlink>
    </w:p>
    <w:p w14:paraId="3860CF8D" w14:textId="654C6823" w:rsidR="001D2763" w:rsidRDefault="001D2763" w:rsidP="00866879">
      <w:pPr>
        <w:spacing w:before="240" w:after="240" w:line="278" w:lineRule="auto"/>
        <w:ind w:left="720" w:hanging="720"/>
        <w:rPr>
          <w:rFonts w:ascii="Times New Roman" w:eastAsia="Times New Roman" w:hAnsi="Times New Roman" w:cs="Times New Roman"/>
          <w:color w:val="000000" w:themeColor="text1"/>
        </w:rPr>
      </w:pPr>
      <w:r w:rsidRPr="001D2763">
        <w:rPr>
          <w:rFonts w:ascii="Times New Roman" w:eastAsia="Times New Roman" w:hAnsi="Times New Roman" w:cs="Times New Roman"/>
          <w:color w:val="000000" w:themeColor="text1"/>
        </w:rPr>
        <w:t xml:space="preserve">Nebraska Department of Transportation. (2017). </w:t>
      </w:r>
      <w:r w:rsidRPr="001D2763">
        <w:rPr>
          <w:rFonts w:ascii="Times New Roman" w:eastAsia="Times New Roman" w:hAnsi="Times New Roman" w:cs="Times New Roman"/>
          <w:i/>
          <w:iCs/>
          <w:color w:val="000000" w:themeColor="text1"/>
        </w:rPr>
        <w:t>Standard specifications for highway construction: 2017 edition</w:t>
      </w:r>
      <w:r w:rsidRPr="001D2763">
        <w:rPr>
          <w:rFonts w:ascii="Times New Roman" w:eastAsia="Times New Roman" w:hAnsi="Times New Roman" w:cs="Times New Roman"/>
          <w:color w:val="000000" w:themeColor="text1"/>
        </w:rPr>
        <w:t xml:space="preserve"> (Spec Book). Nebraska Department of Transportation. </w:t>
      </w:r>
      <w:hyperlink r:id="rId11" w:tgtFrame="_new" w:history="1">
        <w:r w:rsidRPr="001D2763">
          <w:rPr>
            <w:rStyle w:val="Hyperlink"/>
            <w:rFonts w:ascii="Times New Roman" w:eastAsia="Times New Roman" w:hAnsi="Times New Roman" w:cs="Times New Roman"/>
          </w:rPr>
          <w:t>https://dot.nebraska.gov/media/g4qp4y0d/2017-specbook.pdf</w:t>
        </w:r>
      </w:hyperlink>
    </w:p>
    <w:p w14:paraId="08FA8F19" w14:textId="77777777" w:rsidR="001D2763" w:rsidRPr="001D2763" w:rsidRDefault="001D2763" w:rsidP="146D1E27">
      <w:pPr>
        <w:spacing w:before="240" w:after="240"/>
        <w:rPr>
          <w:rFonts w:ascii="Times New Roman" w:eastAsia="Times New Roman" w:hAnsi="Times New Roman" w:cs="Times New Roman"/>
          <w:color w:val="000000" w:themeColor="text1"/>
        </w:rPr>
      </w:pPr>
    </w:p>
    <w:p w14:paraId="75D94ED9" w14:textId="77777777" w:rsidR="00755FCC" w:rsidRPr="00755FCC" w:rsidRDefault="00755FCC" w:rsidP="146D1E27">
      <w:pPr>
        <w:spacing w:before="240" w:after="240"/>
        <w:rPr>
          <w:rFonts w:ascii="Times New Roman" w:eastAsia="Times New Roman" w:hAnsi="Times New Roman" w:cs="Times New Roman"/>
          <w:b/>
          <w:bCs/>
          <w:color w:val="000000" w:themeColor="text1"/>
        </w:rPr>
      </w:pPr>
    </w:p>
    <w:p w14:paraId="2C078E63" w14:textId="3539BD6F" w:rsidR="00102CA2" w:rsidRPr="00755FCC" w:rsidRDefault="00102CA2">
      <w:pPr>
        <w:rPr>
          <w:rFonts w:ascii="Times New Roman" w:hAnsi="Times New Roman" w:cs="Times New Roman"/>
        </w:rPr>
      </w:pPr>
    </w:p>
    <w:sectPr w:rsidR="00102CA2" w:rsidRPr="00755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35171"/>
    <w:multiLevelType w:val="hybridMultilevel"/>
    <w:tmpl w:val="FFFFFFFF"/>
    <w:lvl w:ilvl="0" w:tplc="948EAD7A">
      <w:start w:val="1"/>
      <w:numFmt w:val="bullet"/>
      <w:lvlText w:val=""/>
      <w:lvlJc w:val="left"/>
      <w:pPr>
        <w:ind w:left="720" w:hanging="360"/>
      </w:pPr>
      <w:rPr>
        <w:rFonts w:ascii="Symbol" w:hAnsi="Symbol" w:hint="default"/>
      </w:rPr>
    </w:lvl>
    <w:lvl w:ilvl="1" w:tplc="910286E6">
      <w:start w:val="1"/>
      <w:numFmt w:val="bullet"/>
      <w:lvlText w:val="o"/>
      <w:lvlJc w:val="left"/>
      <w:pPr>
        <w:ind w:left="1440" w:hanging="360"/>
      </w:pPr>
      <w:rPr>
        <w:rFonts w:ascii="Courier New" w:hAnsi="Courier New" w:hint="default"/>
      </w:rPr>
    </w:lvl>
    <w:lvl w:ilvl="2" w:tplc="9C4C977A">
      <w:start w:val="1"/>
      <w:numFmt w:val="bullet"/>
      <w:lvlText w:val=""/>
      <w:lvlJc w:val="left"/>
      <w:pPr>
        <w:ind w:left="2160" w:hanging="360"/>
      </w:pPr>
      <w:rPr>
        <w:rFonts w:ascii="Wingdings" w:hAnsi="Wingdings" w:hint="default"/>
      </w:rPr>
    </w:lvl>
    <w:lvl w:ilvl="3" w:tplc="B0BCB2CE">
      <w:start w:val="1"/>
      <w:numFmt w:val="bullet"/>
      <w:lvlText w:val=""/>
      <w:lvlJc w:val="left"/>
      <w:pPr>
        <w:ind w:left="2880" w:hanging="360"/>
      </w:pPr>
      <w:rPr>
        <w:rFonts w:ascii="Symbol" w:hAnsi="Symbol" w:hint="default"/>
      </w:rPr>
    </w:lvl>
    <w:lvl w:ilvl="4" w:tplc="F634BBFE">
      <w:start w:val="1"/>
      <w:numFmt w:val="bullet"/>
      <w:lvlText w:val="o"/>
      <w:lvlJc w:val="left"/>
      <w:pPr>
        <w:ind w:left="3600" w:hanging="360"/>
      </w:pPr>
      <w:rPr>
        <w:rFonts w:ascii="Courier New" w:hAnsi="Courier New" w:hint="default"/>
      </w:rPr>
    </w:lvl>
    <w:lvl w:ilvl="5" w:tplc="AE929ADE">
      <w:start w:val="1"/>
      <w:numFmt w:val="bullet"/>
      <w:lvlText w:val=""/>
      <w:lvlJc w:val="left"/>
      <w:pPr>
        <w:ind w:left="4320" w:hanging="360"/>
      </w:pPr>
      <w:rPr>
        <w:rFonts w:ascii="Wingdings" w:hAnsi="Wingdings" w:hint="default"/>
      </w:rPr>
    </w:lvl>
    <w:lvl w:ilvl="6" w:tplc="B9626E0E">
      <w:start w:val="1"/>
      <w:numFmt w:val="bullet"/>
      <w:lvlText w:val=""/>
      <w:lvlJc w:val="left"/>
      <w:pPr>
        <w:ind w:left="5040" w:hanging="360"/>
      </w:pPr>
      <w:rPr>
        <w:rFonts w:ascii="Symbol" w:hAnsi="Symbol" w:hint="default"/>
      </w:rPr>
    </w:lvl>
    <w:lvl w:ilvl="7" w:tplc="7ADEFD8E">
      <w:start w:val="1"/>
      <w:numFmt w:val="bullet"/>
      <w:lvlText w:val="o"/>
      <w:lvlJc w:val="left"/>
      <w:pPr>
        <w:ind w:left="5760" w:hanging="360"/>
      </w:pPr>
      <w:rPr>
        <w:rFonts w:ascii="Courier New" w:hAnsi="Courier New" w:hint="default"/>
      </w:rPr>
    </w:lvl>
    <w:lvl w:ilvl="8" w:tplc="C2D4B808">
      <w:start w:val="1"/>
      <w:numFmt w:val="bullet"/>
      <w:lvlText w:val=""/>
      <w:lvlJc w:val="left"/>
      <w:pPr>
        <w:ind w:left="6480" w:hanging="360"/>
      </w:pPr>
      <w:rPr>
        <w:rFonts w:ascii="Wingdings" w:hAnsi="Wingdings" w:hint="default"/>
      </w:rPr>
    </w:lvl>
  </w:abstractNum>
  <w:abstractNum w:abstractNumId="1" w15:restartNumberingAfterBreak="0">
    <w:nsid w:val="4205C04F"/>
    <w:multiLevelType w:val="hybridMultilevel"/>
    <w:tmpl w:val="FFFFFFFF"/>
    <w:lvl w:ilvl="0" w:tplc="373C6DE6">
      <w:start w:val="1"/>
      <w:numFmt w:val="bullet"/>
      <w:lvlText w:val=""/>
      <w:lvlJc w:val="left"/>
      <w:pPr>
        <w:ind w:left="720" w:hanging="360"/>
      </w:pPr>
      <w:rPr>
        <w:rFonts w:ascii="Symbol" w:hAnsi="Symbol" w:hint="default"/>
      </w:rPr>
    </w:lvl>
    <w:lvl w:ilvl="1" w:tplc="81F87E94">
      <w:start w:val="1"/>
      <w:numFmt w:val="bullet"/>
      <w:lvlText w:val="o"/>
      <w:lvlJc w:val="left"/>
      <w:pPr>
        <w:ind w:left="1440" w:hanging="360"/>
      </w:pPr>
      <w:rPr>
        <w:rFonts w:ascii="Courier New" w:hAnsi="Courier New" w:hint="default"/>
      </w:rPr>
    </w:lvl>
    <w:lvl w:ilvl="2" w:tplc="7764A80A">
      <w:start w:val="1"/>
      <w:numFmt w:val="bullet"/>
      <w:lvlText w:val=""/>
      <w:lvlJc w:val="left"/>
      <w:pPr>
        <w:ind w:left="2160" w:hanging="360"/>
      </w:pPr>
      <w:rPr>
        <w:rFonts w:ascii="Wingdings" w:hAnsi="Wingdings" w:hint="default"/>
      </w:rPr>
    </w:lvl>
    <w:lvl w:ilvl="3" w:tplc="39D88EEC">
      <w:start w:val="1"/>
      <w:numFmt w:val="bullet"/>
      <w:lvlText w:val=""/>
      <w:lvlJc w:val="left"/>
      <w:pPr>
        <w:ind w:left="2880" w:hanging="360"/>
      </w:pPr>
      <w:rPr>
        <w:rFonts w:ascii="Symbol" w:hAnsi="Symbol" w:hint="default"/>
      </w:rPr>
    </w:lvl>
    <w:lvl w:ilvl="4" w:tplc="77C8D8E8">
      <w:start w:val="1"/>
      <w:numFmt w:val="bullet"/>
      <w:lvlText w:val="o"/>
      <w:lvlJc w:val="left"/>
      <w:pPr>
        <w:ind w:left="3600" w:hanging="360"/>
      </w:pPr>
      <w:rPr>
        <w:rFonts w:ascii="Courier New" w:hAnsi="Courier New" w:hint="default"/>
      </w:rPr>
    </w:lvl>
    <w:lvl w:ilvl="5" w:tplc="F74265F0">
      <w:start w:val="1"/>
      <w:numFmt w:val="bullet"/>
      <w:lvlText w:val=""/>
      <w:lvlJc w:val="left"/>
      <w:pPr>
        <w:ind w:left="4320" w:hanging="360"/>
      </w:pPr>
      <w:rPr>
        <w:rFonts w:ascii="Wingdings" w:hAnsi="Wingdings" w:hint="default"/>
      </w:rPr>
    </w:lvl>
    <w:lvl w:ilvl="6" w:tplc="3E3E43F4">
      <w:start w:val="1"/>
      <w:numFmt w:val="bullet"/>
      <w:lvlText w:val=""/>
      <w:lvlJc w:val="left"/>
      <w:pPr>
        <w:ind w:left="5040" w:hanging="360"/>
      </w:pPr>
      <w:rPr>
        <w:rFonts w:ascii="Symbol" w:hAnsi="Symbol" w:hint="default"/>
      </w:rPr>
    </w:lvl>
    <w:lvl w:ilvl="7" w:tplc="5BC88CB2">
      <w:start w:val="1"/>
      <w:numFmt w:val="bullet"/>
      <w:lvlText w:val="o"/>
      <w:lvlJc w:val="left"/>
      <w:pPr>
        <w:ind w:left="5760" w:hanging="360"/>
      </w:pPr>
      <w:rPr>
        <w:rFonts w:ascii="Courier New" w:hAnsi="Courier New" w:hint="default"/>
      </w:rPr>
    </w:lvl>
    <w:lvl w:ilvl="8" w:tplc="F518476A">
      <w:start w:val="1"/>
      <w:numFmt w:val="bullet"/>
      <w:lvlText w:val=""/>
      <w:lvlJc w:val="left"/>
      <w:pPr>
        <w:ind w:left="6480" w:hanging="360"/>
      </w:pPr>
      <w:rPr>
        <w:rFonts w:ascii="Wingdings" w:hAnsi="Wingdings" w:hint="default"/>
      </w:rPr>
    </w:lvl>
  </w:abstractNum>
  <w:abstractNum w:abstractNumId="2" w15:restartNumberingAfterBreak="0">
    <w:nsid w:val="5E912531"/>
    <w:multiLevelType w:val="hybridMultilevel"/>
    <w:tmpl w:val="FFFFFFFF"/>
    <w:lvl w:ilvl="0" w:tplc="9D344738">
      <w:start w:val="1"/>
      <w:numFmt w:val="bullet"/>
      <w:lvlText w:val=""/>
      <w:lvlJc w:val="left"/>
      <w:pPr>
        <w:ind w:left="720" w:hanging="360"/>
      </w:pPr>
      <w:rPr>
        <w:rFonts w:ascii="Symbol" w:hAnsi="Symbol" w:hint="default"/>
      </w:rPr>
    </w:lvl>
    <w:lvl w:ilvl="1" w:tplc="8638952E">
      <w:start w:val="1"/>
      <w:numFmt w:val="bullet"/>
      <w:lvlText w:val="o"/>
      <w:lvlJc w:val="left"/>
      <w:pPr>
        <w:ind w:left="1440" w:hanging="360"/>
      </w:pPr>
      <w:rPr>
        <w:rFonts w:ascii="Courier New" w:hAnsi="Courier New" w:hint="default"/>
      </w:rPr>
    </w:lvl>
    <w:lvl w:ilvl="2" w:tplc="72605BEC">
      <w:start w:val="1"/>
      <w:numFmt w:val="bullet"/>
      <w:lvlText w:val=""/>
      <w:lvlJc w:val="left"/>
      <w:pPr>
        <w:ind w:left="2160" w:hanging="360"/>
      </w:pPr>
      <w:rPr>
        <w:rFonts w:ascii="Wingdings" w:hAnsi="Wingdings" w:hint="default"/>
      </w:rPr>
    </w:lvl>
    <w:lvl w:ilvl="3" w:tplc="C06A5E26">
      <w:start w:val="1"/>
      <w:numFmt w:val="bullet"/>
      <w:lvlText w:val=""/>
      <w:lvlJc w:val="left"/>
      <w:pPr>
        <w:ind w:left="2880" w:hanging="360"/>
      </w:pPr>
      <w:rPr>
        <w:rFonts w:ascii="Symbol" w:hAnsi="Symbol" w:hint="default"/>
      </w:rPr>
    </w:lvl>
    <w:lvl w:ilvl="4" w:tplc="504E2AB2">
      <w:start w:val="1"/>
      <w:numFmt w:val="bullet"/>
      <w:lvlText w:val="o"/>
      <w:lvlJc w:val="left"/>
      <w:pPr>
        <w:ind w:left="3600" w:hanging="360"/>
      </w:pPr>
      <w:rPr>
        <w:rFonts w:ascii="Courier New" w:hAnsi="Courier New" w:hint="default"/>
      </w:rPr>
    </w:lvl>
    <w:lvl w:ilvl="5" w:tplc="644ADA9A">
      <w:start w:val="1"/>
      <w:numFmt w:val="bullet"/>
      <w:lvlText w:val=""/>
      <w:lvlJc w:val="left"/>
      <w:pPr>
        <w:ind w:left="4320" w:hanging="360"/>
      </w:pPr>
      <w:rPr>
        <w:rFonts w:ascii="Wingdings" w:hAnsi="Wingdings" w:hint="default"/>
      </w:rPr>
    </w:lvl>
    <w:lvl w:ilvl="6" w:tplc="F89C02CC">
      <w:start w:val="1"/>
      <w:numFmt w:val="bullet"/>
      <w:lvlText w:val=""/>
      <w:lvlJc w:val="left"/>
      <w:pPr>
        <w:ind w:left="5040" w:hanging="360"/>
      </w:pPr>
      <w:rPr>
        <w:rFonts w:ascii="Symbol" w:hAnsi="Symbol" w:hint="default"/>
      </w:rPr>
    </w:lvl>
    <w:lvl w:ilvl="7" w:tplc="AE94D61E">
      <w:start w:val="1"/>
      <w:numFmt w:val="bullet"/>
      <w:lvlText w:val="o"/>
      <w:lvlJc w:val="left"/>
      <w:pPr>
        <w:ind w:left="5760" w:hanging="360"/>
      </w:pPr>
      <w:rPr>
        <w:rFonts w:ascii="Courier New" w:hAnsi="Courier New" w:hint="default"/>
      </w:rPr>
    </w:lvl>
    <w:lvl w:ilvl="8" w:tplc="C5DAD57A">
      <w:start w:val="1"/>
      <w:numFmt w:val="bullet"/>
      <w:lvlText w:val=""/>
      <w:lvlJc w:val="left"/>
      <w:pPr>
        <w:ind w:left="6480" w:hanging="360"/>
      </w:pPr>
      <w:rPr>
        <w:rFonts w:ascii="Wingdings" w:hAnsi="Wingdings" w:hint="default"/>
      </w:rPr>
    </w:lvl>
  </w:abstractNum>
  <w:abstractNum w:abstractNumId="3" w15:restartNumberingAfterBreak="0">
    <w:nsid w:val="70476491"/>
    <w:multiLevelType w:val="hybridMultilevel"/>
    <w:tmpl w:val="FFFFFFFF"/>
    <w:lvl w:ilvl="0" w:tplc="4A680838">
      <w:start w:val="1"/>
      <w:numFmt w:val="bullet"/>
      <w:lvlText w:val=""/>
      <w:lvlJc w:val="left"/>
      <w:pPr>
        <w:ind w:left="720" w:hanging="360"/>
      </w:pPr>
      <w:rPr>
        <w:rFonts w:ascii="Symbol" w:hAnsi="Symbol" w:hint="default"/>
      </w:rPr>
    </w:lvl>
    <w:lvl w:ilvl="1" w:tplc="B380D148">
      <w:start w:val="1"/>
      <w:numFmt w:val="bullet"/>
      <w:lvlText w:val="o"/>
      <w:lvlJc w:val="left"/>
      <w:pPr>
        <w:ind w:left="1440" w:hanging="360"/>
      </w:pPr>
      <w:rPr>
        <w:rFonts w:ascii="Courier New" w:hAnsi="Courier New" w:hint="default"/>
      </w:rPr>
    </w:lvl>
    <w:lvl w:ilvl="2" w:tplc="344A526C">
      <w:start w:val="1"/>
      <w:numFmt w:val="bullet"/>
      <w:lvlText w:val=""/>
      <w:lvlJc w:val="left"/>
      <w:pPr>
        <w:ind w:left="2160" w:hanging="360"/>
      </w:pPr>
      <w:rPr>
        <w:rFonts w:ascii="Wingdings" w:hAnsi="Wingdings" w:hint="default"/>
      </w:rPr>
    </w:lvl>
    <w:lvl w:ilvl="3" w:tplc="7AFECA4E">
      <w:start w:val="1"/>
      <w:numFmt w:val="bullet"/>
      <w:lvlText w:val=""/>
      <w:lvlJc w:val="left"/>
      <w:pPr>
        <w:ind w:left="2880" w:hanging="360"/>
      </w:pPr>
      <w:rPr>
        <w:rFonts w:ascii="Symbol" w:hAnsi="Symbol" w:hint="default"/>
      </w:rPr>
    </w:lvl>
    <w:lvl w:ilvl="4" w:tplc="C1567442">
      <w:start w:val="1"/>
      <w:numFmt w:val="bullet"/>
      <w:lvlText w:val="o"/>
      <w:lvlJc w:val="left"/>
      <w:pPr>
        <w:ind w:left="3600" w:hanging="360"/>
      </w:pPr>
      <w:rPr>
        <w:rFonts w:ascii="Courier New" w:hAnsi="Courier New" w:hint="default"/>
      </w:rPr>
    </w:lvl>
    <w:lvl w:ilvl="5" w:tplc="7CCAE2B6">
      <w:start w:val="1"/>
      <w:numFmt w:val="bullet"/>
      <w:lvlText w:val=""/>
      <w:lvlJc w:val="left"/>
      <w:pPr>
        <w:ind w:left="4320" w:hanging="360"/>
      </w:pPr>
      <w:rPr>
        <w:rFonts w:ascii="Wingdings" w:hAnsi="Wingdings" w:hint="default"/>
      </w:rPr>
    </w:lvl>
    <w:lvl w:ilvl="6" w:tplc="EC3A14C4">
      <w:start w:val="1"/>
      <w:numFmt w:val="bullet"/>
      <w:lvlText w:val=""/>
      <w:lvlJc w:val="left"/>
      <w:pPr>
        <w:ind w:left="5040" w:hanging="360"/>
      </w:pPr>
      <w:rPr>
        <w:rFonts w:ascii="Symbol" w:hAnsi="Symbol" w:hint="default"/>
      </w:rPr>
    </w:lvl>
    <w:lvl w:ilvl="7" w:tplc="FBD26C72">
      <w:start w:val="1"/>
      <w:numFmt w:val="bullet"/>
      <w:lvlText w:val="o"/>
      <w:lvlJc w:val="left"/>
      <w:pPr>
        <w:ind w:left="5760" w:hanging="360"/>
      </w:pPr>
      <w:rPr>
        <w:rFonts w:ascii="Courier New" w:hAnsi="Courier New" w:hint="default"/>
      </w:rPr>
    </w:lvl>
    <w:lvl w:ilvl="8" w:tplc="A9D60DEE">
      <w:start w:val="1"/>
      <w:numFmt w:val="bullet"/>
      <w:lvlText w:val=""/>
      <w:lvlJc w:val="left"/>
      <w:pPr>
        <w:ind w:left="6480" w:hanging="360"/>
      </w:pPr>
      <w:rPr>
        <w:rFonts w:ascii="Wingdings" w:hAnsi="Wingdings" w:hint="default"/>
      </w:rPr>
    </w:lvl>
  </w:abstractNum>
  <w:num w:numId="1" w16cid:durableId="809981149">
    <w:abstractNumId w:val="3"/>
  </w:num>
  <w:num w:numId="2" w16cid:durableId="113210190">
    <w:abstractNumId w:val="0"/>
  </w:num>
  <w:num w:numId="3" w16cid:durableId="2119597781">
    <w:abstractNumId w:val="2"/>
  </w:num>
  <w:num w:numId="4" w16cid:durableId="1144810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199F7B"/>
    <w:rsid w:val="00023733"/>
    <w:rsid w:val="00102CA2"/>
    <w:rsid w:val="00112FB6"/>
    <w:rsid w:val="00115899"/>
    <w:rsid w:val="001D2763"/>
    <w:rsid w:val="00755FCC"/>
    <w:rsid w:val="00866879"/>
    <w:rsid w:val="00C71BB5"/>
    <w:rsid w:val="04DB66B5"/>
    <w:rsid w:val="06199F7B"/>
    <w:rsid w:val="0C6283F1"/>
    <w:rsid w:val="0CBBA146"/>
    <w:rsid w:val="121AEB9E"/>
    <w:rsid w:val="146D1E27"/>
    <w:rsid w:val="19437194"/>
    <w:rsid w:val="1F07229D"/>
    <w:rsid w:val="200A44BA"/>
    <w:rsid w:val="21A485D8"/>
    <w:rsid w:val="30FE0531"/>
    <w:rsid w:val="3CDCE534"/>
    <w:rsid w:val="3E4509F4"/>
    <w:rsid w:val="46214CDF"/>
    <w:rsid w:val="48C98364"/>
    <w:rsid w:val="49F6A392"/>
    <w:rsid w:val="50846C5A"/>
    <w:rsid w:val="5D046A1B"/>
    <w:rsid w:val="5D719F3A"/>
    <w:rsid w:val="5E8B8C0A"/>
    <w:rsid w:val="697AD9F5"/>
    <w:rsid w:val="69950799"/>
    <w:rsid w:val="7DDFFD9A"/>
    <w:rsid w:val="7E8D9752"/>
    <w:rsid w:val="7EC2E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99F7B"/>
  <w15:chartTrackingRefBased/>
  <w15:docId w15:val="{A9A988D5-83B3-4709-A004-53B717566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146D1E2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46D1E27"/>
    <w:pPr>
      <w:ind w:left="720"/>
      <w:contextualSpacing/>
    </w:pPr>
  </w:style>
  <w:style w:type="character" w:styleId="Hyperlink">
    <w:name w:val="Hyperlink"/>
    <w:basedOn w:val="DefaultParagraphFont"/>
    <w:uiPriority w:val="99"/>
    <w:unhideWhenUsed/>
    <w:rsid w:val="146D1E27"/>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755FCC"/>
    <w:rPr>
      <w:color w:val="96607D" w:themeColor="followedHyperlink"/>
      <w:u w:val="single"/>
    </w:rPr>
  </w:style>
  <w:style w:type="character" w:styleId="UnresolvedMention">
    <w:name w:val="Unresolved Mention"/>
    <w:basedOn w:val="DefaultParagraphFont"/>
    <w:uiPriority w:val="99"/>
    <w:semiHidden/>
    <w:unhideWhenUsed/>
    <w:rsid w:val="001D2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ot.gov/business/designsupport/cdot-construction-specifications/2023-construction-specifications/2023-specs-book/2023-cdot-specs-book.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a.iowadot.gov/erl/archiveoct2012/GS/content/2403.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t.nebraska.gov/media/g4qp4y0d/2017-specbook.pdf" TargetMode="External"/><Relationship Id="rId11" Type="http://schemas.openxmlformats.org/officeDocument/2006/relationships/hyperlink" Target="https://dot.nebraska.gov/media/g4qp4y0d/2017-specbook.pdf?utm_source=chatgpt.com" TargetMode="External"/><Relationship Id="rId5" Type="http://schemas.openxmlformats.org/officeDocument/2006/relationships/hyperlink" Target="https://dot.nebraska.gov/media/g4qp4y0d/2017-specbook.pdf" TargetMode="External"/><Relationship Id="rId10" Type="http://schemas.openxmlformats.org/officeDocument/2006/relationships/hyperlink" Target="https://ia.iowadot.gov/erl/archiveoct2012/GS/content/2403.pdf?utm_source=chatgpt.com" TargetMode="External"/><Relationship Id="rId4" Type="http://schemas.openxmlformats.org/officeDocument/2006/relationships/webSettings" Target="webSettings.xml"/><Relationship Id="rId9" Type="http://schemas.openxmlformats.org/officeDocument/2006/relationships/hyperlink" Target="https://www.codot.gov/business/designsupport/cdot-construction-specifications/2023-construction-specifications/2023-specs-book/2023-cdot-specs-book.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673</Words>
  <Characters>3838</Characters>
  <Application>Microsoft Office Word</Application>
  <DocSecurity>0</DocSecurity>
  <Lines>31</Lines>
  <Paragraphs>9</Paragraphs>
  <ScaleCrop>false</ScaleCrop>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Tran</dc:creator>
  <cp:keywords/>
  <dc:description/>
  <cp:lastModifiedBy>Schaefer Rogers</cp:lastModifiedBy>
  <cp:revision>6</cp:revision>
  <dcterms:created xsi:type="dcterms:W3CDTF">2026-02-19T05:08:00Z</dcterms:created>
  <dcterms:modified xsi:type="dcterms:W3CDTF">2026-02-20T21:14:00Z</dcterms:modified>
</cp:coreProperties>
</file>