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20bdf8e53f635bf1c2579b0f05229dbefc1086a"/>
    <w:p>
      <w:pPr>
        <w:pStyle w:val="Heading1"/>
      </w:pPr>
      <w:r>
        <w:t xml:space="preserve">OECS Post-Secondary SDG Questionnaire — Plain English Summary</w:t>
      </w:r>
    </w:p>
    <w:bookmarkStart w:id="9" w:name="what-is-this-document-in-one-sentence"/>
    <w:p>
      <w:pPr>
        <w:pStyle w:val="Heading2"/>
      </w:pPr>
      <w:r>
        <w:t xml:space="preserve">1. What is this document, in one sentence?</w:t>
      </w:r>
    </w:p>
    <w:p>
      <w:pPr>
        <w:pStyle w:val="FirstParagraph"/>
      </w:pPr>
      <w:r>
        <w:t xml:space="preserve">It is a</w:t>
      </w:r>
      <w:r>
        <w:t xml:space="preserve"> </w:t>
      </w:r>
      <w:r>
        <w:rPr>
          <w:b/>
          <w:bCs/>
        </w:rPr>
        <w:t xml:space="preserve">survey form (questionnaire)</w:t>
      </w:r>
      <w:r>
        <w:t xml:space="preserve"> </w:t>
      </w:r>
      <w:r>
        <w:t xml:space="preserve">that colleges and universities in the Eastern Caribbean fill out once a year, so their government’s Ministry of Education can collect education statistics and report progress on global education goals to the United Nations.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OECS</w:t>
      </w:r>
      <w:r>
        <w:t xml:space="preserve"> </w:t>
      </w:r>
      <w:r>
        <w:t xml:space="preserve">= Organisation of Eastern Caribbean States (a group of small Caribbean island countries — e.g. Grenada, St. Lucia, Dominica, Antigua).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Post-Secondary / Tertiary</w:t>
      </w:r>
      <w:r>
        <w:t xml:space="preserve"> </w:t>
      </w:r>
      <w:r>
        <w:t xml:space="preserve">= education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high school (colleges, universities, vocational training).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SKIP Component 1.1</w:t>
      </w:r>
      <w:r>
        <w:t xml:space="preserve"> </w:t>
      </w:r>
      <w:r>
        <w:t xml:space="preserve">= the name of the project/programme this form belongs to.</w:t>
      </w:r>
    </w:p>
    <w:p>
      <w:pPr>
        <w:pStyle w:val="Compact"/>
        <w:numPr>
          <w:ilvl w:val="0"/>
          <w:numId w:val="1001"/>
        </w:numPr>
      </w:pPr>
      <w:r>
        <w:t xml:space="preserve">It covers the</w:t>
      </w:r>
      <w:r>
        <w:t xml:space="preserve"> </w:t>
      </w:r>
      <w:r>
        <w:rPr>
          <w:b/>
          <w:bCs/>
        </w:rPr>
        <w:t xml:space="preserve">2025–2026 academic year</w:t>
      </w:r>
      <w:r>
        <w:t xml:space="preserve">, and all numbers should describe the situation</w:t>
      </w:r>
      <w:r>
        <w:t xml:space="preserve"> </w:t>
      </w:r>
      <w:r>
        <w:rPr>
          <w:b/>
          <w:bCs/>
        </w:rPr>
        <w:t xml:space="preserve">as of 15th October 2025</w:t>
      </w:r>
      <w:r>
        <w:t xml:space="preserve"> </w:t>
      </w:r>
      <w:r>
        <w:t xml:space="preserve">(one fixed</w:t>
      </w:r>
      <w:r>
        <w:t xml:space="preserve"> </w:t>
      </w:r>
      <w:r>
        <w:t xml:space="preserve">“snapshot”</w:t>
      </w:r>
      <w:r>
        <w:t xml:space="preserve"> </w:t>
      </w:r>
      <w:r>
        <w:t xml:space="preserve">date).</w:t>
      </w:r>
    </w:p>
    <w:p>
      <w:pPr>
        <w:pStyle w:val="FirstParagraph"/>
      </w:pPr>
      <w:r>
        <w:rPr>
          <w:b/>
          <w:bCs/>
        </w:rPr>
        <w:t xml:space="preserve">SDG stands for Sustainable Development Goals</w:t>
      </w:r>
      <w:r>
        <w:t xml:space="preserve"> </w:t>
      </w:r>
      <w:r>
        <w:t xml:space="preserve">— a set of</w:t>
      </w:r>
      <w:r>
        <w:t xml:space="preserve"> </w:t>
      </w:r>
      <w:r>
        <w:rPr>
          <w:b/>
          <w:bCs/>
        </w:rPr>
        <w:t xml:space="preserve">17 global goals adopted by the United Nations in 2015</w:t>
      </w:r>
      <w:r>
        <w:t xml:space="preserve">, to be achieved by</w:t>
      </w:r>
      <w:r>
        <w:t xml:space="preserve"> </w:t>
      </w:r>
      <w:r>
        <w:rPr>
          <w:b/>
          <w:bCs/>
        </w:rPr>
        <w:t xml:space="preserve">2030</w:t>
      </w:r>
      <w:r>
        <w:t xml:space="preserve">. They cover things like ending poverty, climate action, and education. This form deals only with</w:t>
      </w:r>
      <w:r>
        <w:t xml:space="preserve"> </w:t>
      </w:r>
      <w:r>
        <w:rPr>
          <w:b/>
          <w:bCs/>
        </w:rPr>
        <w:t xml:space="preserve">SDG 4 —</w:t>
      </w:r>
      <w:r>
        <w:rPr>
          <w:b/>
          <w:bCs/>
        </w:rPr>
        <w:t xml:space="preserve"> </w:t>
      </w:r>
      <w:r>
        <w:rPr>
          <w:b/>
          <w:bCs/>
        </w:rPr>
        <w:t xml:space="preserve">“Quality Education,”</w:t>
      </w:r>
      <w:r>
        <w:t xml:space="preserve"> </w:t>
      </w:r>
      <w:r>
        <w:t xml:space="preserve">and specifically its sub-targets (codes like</w:t>
      </w:r>
      <w:r>
        <w:t xml:space="preserve"> </w:t>
      </w:r>
      <w:r>
        <w:rPr>
          <w:rStyle w:val="VerbatimChar"/>
        </w:rPr>
        <w:t xml:space="preserve">4.3.2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4.c.1</w:t>
      </w:r>
      <w:r>
        <w:t xml:space="preserve">). One of those,</w:t>
      </w:r>
      <w:r>
        <w:t xml:space="preserve"> </w:t>
      </w:r>
      <w:r>
        <w:rPr>
          <w:b/>
          <w:bCs/>
        </w:rPr>
        <w:t xml:space="preserve">Target 4.c</w:t>
      </w:r>
      <w:r>
        <w:t xml:space="preserve">, is about increasing the supply of qualified teachers through training and recruitment.</w:t>
      </w:r>
    </w:p>
    <w:p>
      <w:pPr>
        <w:pStyle w:val="BodyText"/>
      </w:pPr>
      <w:r>
        <w:t xml:space="preserve">The big idea: every table in the workbook is</w:t>
      </w:r>
      <w:r>
        <w:t xml:space="preserve"> </w:t>
      </w:r>
      <w:r>
        <w:rPr>
          <w:b/>
          <w:bCs/>
        </w:rPr>
        <w:t xml:space="preserve">tagged with an</w:t>
      </w:r>
      <w:r>
        <w:rPr>
          <w:b/>
          <w:bCs/>
        </w:rPr>
        <w:t xml:space="preserve"> </w:t>
      </w:r>
      <w:r>
        <w:rPr>
          <w:b/>
          <w:bCs/>
        </w:rPr>
        <w:t xml:space="preserve">“SDG”</w:t>
      </w:r>
      <w:r>
        <w:rPr>
          <w:b/>
          <w:bCs/>
        </w:rP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t xml:space="preserve">that tells you which global goal that data feeds. Colours in the real spreadsheet match a colour key on the front sheet.</w:t>
      </w:r>
    </w:p>
    <w:p>
      <w:r>
        <w:pict>
          <v:rect style="width:0;height:1.5pt" o:hralign="center" o:hrstd="t" o:hr="t"/>
        </w:pict>
      </w:r>
    </w:p>
    <w:bookmarkEnd w:id="9"/>
    <w:bookmarkStart w:id="10" w:name="the-most-important-jargon-memorise-these"/>
    <w:p>
      <w:pPr>
        <w:pStyle w:val="Heading2"/>
      </w:pPr>
      <w:r>
        <w:t xml:space="preserve">2. The most important jargon (memorise these)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 / Abbreviation</w:t>
            </w:r>
          </w:p>
        </w:tc>
        <w:tc>
          <w:tcPr/>
          <w:p>
            <w:pPr>
              <w:pStyle w:val="Compact"/>
            </w:pPr>
            <w:r>
              <w:t xml:space="preserve">Plain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Sustainable Development Goal</w:t>
            </w:r>
            <w:r>
              <w:t xml:space="preserve"> </w:t>
            </w:r>
            <w:r>
              <w:t xml:space="preserve">— 17 global goals set by the United Nations. This form only touches</w:t>
            </w:r>
            <w:r>
              <w:t xml:space="preserve"> </w:t>
            </w:r>
            <w:r>
              <w:rPr>
                <w:b/>
                <w:bCs/>
              </w:rPr>
              <w:t xml:space="preserve">SDG 4 =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“Quality Education.”</w:t>
            </w:r>
            <w:r>
              <w:t xml:space="preserve"> </w:t>
            </w:r>
            <w:r>
              <w:t xml:space="preserve">Codes like</w:t>
            </w:r>
            <w:r>
              <w:t xml:space="preserve"> </w:t>
            </w:r>
            <w:r>
              <w:rPr>
                <w:rStyle w:val="VerbatimChar"/>
              </w:rPr>
              <w:t xml:space="preserve">4.3.2</w:t>
            </w:r>
            <w:r>
              <w:t xml:space="preserve"> </w:t>
            </w:r>
            <w:r>
              <w:t xml:space="preserve">are sub-targets under Goal 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ISCED</w:t>
            </w:r>
          </w:p>
        </w:tc>
        <w:tc>
          <w:tcPr/>
          <w:p>
            <w:pPr>
              <w:pStyle w:val="Compact"/>
            </w:pPr>
            <w:r>
              <w:t xml:space="preserve">International Standard Classification of Education — a worldwide system for ranking education levels.</w:t>
            </w:r>
            <w:r>
              <w:t xml:space="preserve"> </w:t>
            </w:r>
            <w:r>
              <w:rPr>
                <w:b/>
                <w:bCs/>
              </w:rPr>
              <w:t xml:space="preserve">Post-secondary = ISCED levels 5 to 8</w:t>
            </w:r>
            <w:r>
              <w:t xml:space="preserve"> </w:t>
            </w:r>
            <w:r>
              <w:t xml:space="preserve">(5=short college, 6=bachelor, 7=master, 8=PhD).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Gross Enrolment Ratio</w:t>
            </w:r>
            <w:r>
              <w:t xml:space="preserve"> </w:t>
            </w:r>
            <w:r>
              <w:t xml:space="preserve">— how many people are enrolled compared to the size of the age group that</w:t>
            </w:r>
            <w:r>
              <w:t xml:space="preserve"> </w:t>
            </w:r>
            <w:r>
              <w:rPr>
                <w:i/>
                <w:iCs/>
              </w:rPr>
              <w:t xml:space="preserve">could</w:t>
            </w:r>
            <w:r>
              <w:t xml:space="preserve"> </w:t>
            </w:r>
            <w:r>
              <w:t xml:space="preserve">be enrolled. Shown as a %.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TVET</w:t>
            </w:r>
          </w:p>
        </w:tc>
        <w:tc>
          <w:tcPr/>
          <w:p>
            <w:pPr>
              <w:pStyle w:val="Compact"/>
            </w:pPr>
            <w:r>
              <w:t xml:space="preserve">Technical and Vocational Education and Training — hands-on, job-skill courses (mechanics, IT, hospitality, 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CVQ</w:t>
            </w:r>
          </w:p>
        </w:tc>
        <w:tc>
          <w:tcPr/>
          <w:p>
            <w:pPr>
              <w:pStyle w:val="Compact"/>
            </w:pPr>
            <w:r>
              <w:t xml:space="preserve">Caribbean Vocational Qualification — a regional certificate for TVET skills, graded Level 1 to Level 5.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CAPE</w:t>
            </w:r>
          </w:p>
        </w:tc>
        <w:tc>
          <w:tcPr/>
          <w:p>
            <w:pPr>
              <w:pStyle w:val="Compact"/>
            </w:pPr>
            <w:r>
              <w:t xml:space="preserve">Caribbean Advanced Proficiency Examination — the Caribbean’s pre-university exam (like A-Levels).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CPD</w:t>
            </w:r>
          </w:p>
        </w:tc>
        <w:tc>
          <w:tcPr/>
          <w:p>
            <w:pPr>
              <w:pStyle w:val="Compact"/>
            </w:pPr>
            <w:r>
              <w:t xml:space="preserve">Continuous Professional Development — training/courses a teacher takes to keep their skills current. Measured in</w:t>
            </w:r>
            <w:r>
              <w:t xml:space="preserve"> </w:t>
            </w:r>
            <w:r>
              <w:rPr>
                <w:b/>
                <w:bCs/>
              </w:rPr>
              <w:t xml:space="preserve">hours in the past 12 months.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ODA</w:t>
            </w:r>
          </w:p>
        </w:tc>
        <w:tc>
          <w:tcPr/>
          <w:p>
            <w:pPr>
              <w:pStyle w:val="Compact"/>
            </w:pPr>
            <w:r>
              <w:t xml:space="preserve">Official Development Assistance — foreign aid money (e.g. scholarship funding from another country).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NREN</w:t>
            </w:r>
          </w:p>
        </w:tc>
        <w:tc>
          <w:tcPr/>
          <w:p>
            <w:pPr>
              <w:pStyle w:val="Compact"/>
            </w:pPr>
            <w:r>
              <w:t xml:space="preserve">National Research and Education Network — a special high-speed internet network for schools/universities.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Parity (M/F)</w:t>
            </w:r>
          </w:p>
        </w:tc>
        <w:tc>
          <w:tcPr/>
          <w:p>
            <w:pPr>
              <w:pStyle w:val="Compact"/>
            </w:pPr>
            <w:r>
              <w:t xml:space="preserve">Equality between males and females — comparing the male number against the female number.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Attrition</w:t>
            </w:r>
          </w:p>
        </w:tc>
        <w:tc>
          <w:tcPr/>
          <w:p>
            <w:pPr>
              <w:pStyle w:val="Compact"/>
            </w:pPr>
            <w:r>
              <w:t xml:space="preserve">Teachers</w:t>
            </w:r>
            <w:r>
              <w:t xml:space="preserve"> </w:t>
            </w:r>
            <w:r>
              <w:rPr>
                <w:b/>
                <w:bCs/>
              </w:rPr>
              <w:t xml:space="preserve">leaving</w:t>
            </w:r>
            <w:r>
              <w:t xml:space="preserve"> </w:t>
            </w:r>
            <w:r>
              <w:t xml:space="preserve">their jobs (retiring, resigning, transferring).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Trained vs Qualified teacher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Trained</w:t>
            </w:r>
            <w:r>
              <w:t xml:space="preserve"> </w:t>
            </w:r>
            <w:r>
              <w:t xml:space="preserve">= completed a recognised teacher-education course.</w:t>
            </w:r>
            <w:r>
              <w:t xml:space="preserve"> </w:t>
            </w:r>
            <w:r>
              <w:rPr>
                <w:b/>
                <w:bCs/>
              </w:rPr>
              <w:t xml:space="preserve">Qualified</w:t>
            </w:r>
            <w:r>
              <w:t xml:space="preserve"> </w:t>
            </w:r>
            <w:r>
              <w:t xml:space="preserve">= meets the national minimum standard for the subject/level. (A form can ask for both.)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Recurrent expenditure</w:t>
            </w:r>
          </w:p>
        </w:tc>
        <w:tc>
          <w:tcPr/>
          <w:p>
            <w:pPr>
              <w:pStyle w:val="Compact"/>
            </w:pPr>
            <w:r>
              <w:t xml:space="preserve">Regular, repeating running costs (salaries, utilities, supplies) — not one-off purchases.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Emoluments</w:t>
            </w:r>
          </w:p>
        </w:tc>
        <w:tc>
          <w:tcPr/>
          <w:p>
            <w:pPr>
              <w:pStyle w:val="Compact"/>
            </w:pPr>
            <w:r>
              <w:t xml:space="preserve">A formal word for</w:t>
            </w:r>
            <w:r>
              <w:t xml:space="preserve"> </w:t>
            </w:r>
            <w:r>
              <w:rPr>
                <w:b/>
                <w:bCs/>
              </w:rPr>
              <w:t xml:space="preserve">staff salaries/pay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LDC</w:t>
            </w:r>
          </w:p>
        </w:tc>
        <w:tc>
          <w:tcPr/>
          <w:p>
            <w:pPr>
              <w:pStyle w:val="Compact"/>
            </w:pPr>
            <w:r>
              <w:t xml:space="preserve">Least Developed Country.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GDP</w:t>
            </w:r>
          </w:p>
        </w:tc>
        <w:tc>
          <w:tcPr/>
          <w:p>
            <w:pPr>
              <w:pStyle w:val="Compact"/>
            </w:pPr>
            <w:r>
              <w:t xml:space="preserve">Gross Domestic Product — the total size of a country’s economy.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22" w:name="the-11-sheets-explained-one-by-one"/>
    <w:p>
      <w:pPr>
        <w:pStyle w:val="Heading2"/>
      </w:pPr>
      <w:r>
        <w:t xml:space="preserve">3. The 11 sheets, explained one by one</w:t>
      </w:r>
    </w:p>
    <w:p>
      <w:pPr>
        <w:pStyle w:val="FirstParagraph"/>
      </w:pPr>
      <w:r>
        <w:t xml:space="preserve">The workbook has 11 tabs. The first four are</w:t>
      </w:r>
      <w:r>
        <w:t xml:space="preserve"> </w:t>
      </w:r>
      <w:r>
        <w:rPr>
          <w:b/>
          <w:bCs/>
        </w:rPr>
        <w:t xml:space="preserve">instructions/reference</w:t>
      </w:r>
      <w:r>
        <w:t xml:space="preserve">; the rest are</w:t>
      </w:r>
      <w:r>
        <w:t xml:space="preserve"> </w:t>
      </w:r>
      <w:r>
        <w:rPr>
          <w:b/>
          <w:bCs/>
        </w:rPr>
        <w:t xml:space="preserve">data tables you fill in</w:t>
      </w:r>
      <w:r>
        <w:t xml:space="preserve">.</w:t>
      </w:r>
    </w:p>
    <w:bookmarkStart w:id="11" w:name="sheet-1-sdg-reference-the-keylegend"/>
    <w:p>
      <w:pPr>
        <w:pStyle w:val="Heading3"/>
      </w:pPr>
      <w:r>
        <w:t xml:space="preserve">Sheet 1 —</w:t>
      </w:r>
      <w:r>
        <w:t xml:space="preserve"> </w:t>
      </w:r>
      <w:r>
        <w:t xml:space="preserve">“SDG Reference”</w:t>
      </w:r>
      <w:r>
        <w:t xml:space="preserve"> </w:t>
      </w:r>
      <w:r>
        <w:t xml:space="preserve">(the key/legend)</w:t>
      </w:r>
    </w:p>
    <w:p>
      <w:pPr>
        <w:pStyle w:val="FirstParagraph"/>
      </w:pPr>
      <w:r>
        <w:t xml:space="preserve">A lookup table listing every SDG indicator the form measures. For each one it tells you: the code, a short title, what type of number it is (rate, %, ratio, count, yes/no), the</w:t>
      </w:r>
      <w:r>
        <w:t xml:space="preserve"> </w:t>
      </w:r>
      <w:r>
        <w:rPr>
          <w:b/>
          <w:bCs/>
        </w:rPr>
        <w:t xml:space="preserve">top of the fraction (numerator)</w:t>
      </w:r>
      <w:r>
        <w:t xml:space="preserve">, the</w:t>
      </w:r>
      <w:r>
        <w:t xml:space="preserve"> </w:t>
      </w:r>
      <w:r>
        <w:rPr>
          <w:b/>
          <w:bCs/>
        </w:rPr>
        <w:t xml:space="preserve">bottom of the fraction or notes (denominator)</w:t>
      </w:r>
      <w:r>
        <w:t xml:space="preserve">, and which data sheet feeds it.</w:t>
      </w:r>
      <w:r>
        <w:t xml:space="preserve"> </w:t>
      </w:r>
      <w:r>
        <w:rPr>
          <w:b/>
          <w:bCs/>
        </w:rPr>
        <w:t xml:space="preserve">The indicators covered: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4.3.2</w:t>
      </w:r>
      <w:r>
        <w:t xml:space="preserve"> </w:t>
      </w:r>
      <w:r>
        <w:t xml:space="preserve">— Tertiary Gross Enrolment Ratio (how many are in college vs the population that could be).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4.3.3</w:t>
      </w:r>
      <w:r>
        <w:t xml:space="preserve"> </w:t>
      </w:r>
      <w:r>
        <w:t xml:space="preserve">— TVET participation rate for ages</w:t>
      </w:r>
      <w:r>
        <w:t xml:space="preserve"> </w:t>
      </w:r>
      <w:r>
        <w:rPr>
          <w:b/>
          <w:bCs/>
        </w:rPr>
        <w:t xml:space="preserve">15–24</w:t>
      </w:r>
      <w:r>
        <w:t xml:space="preserve"> </w:t>
      </w:r>
      <w:r>
        <w:t xml:space="preserve">(note: collecting age is</w:t>
      </w:r>
      <w:r>
        <w:t xml:space="preserve"> </w:t>
      </w:r>
      <w:r>
        <w:rPr>
          <w:i/>
          <w:iCs/>
        </w:rPr>
        <w:t xml:space="preserve">mandatory</w:t>
      </w:r>
      <w:r>
        <w:t xml:space="preserve"> </w:t>
      </w:r>
      <w:r>
        <w:t xml:space="preserve">for this).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4.5.3</w:t>
      </w:r>
      <w:r>
        <w:t xml:space="preserve"> </w:t>
      </w:r>
      <w:r>
        <w:t xml:space="preserve">— Does a funding system exist to help disadvantaged students? (Yes/No).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4.5.4</w:t>
      </w:r>
      <w:r>
        <w:t xml:space="preserve"> </w:t>
      </w:r>
      <w:r>
        <w:t xml:space="preserve">— How much money is spent per student, by level.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4.5.5</w:t>
      </w:r>
      <w:r>
        <w:t xml:space="preserve"> </w:t>
      </w:r>
      <w:r>
        <w:t xml:space="preserve">— Foreign aid (ODA) to education / scholarship funding source.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4.5.6</w:t>
      </w:r>
      <w:r>
        <w:t xml:space="preserve"> </w:t>
      </w:r>
      <w:r>
        <w:t xml:space="preserve">— Education spending as a % of the country’s GDP.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4.a.3</w:t>
      </w:r>
      <w:r>
        <w:t xml:space="preserve"> </w:t>
      </w:r>
      <w:r>
        <w:t xml:space="preserve">— Number of attacks on students/staff/institutions in the year (</w:t>
      </w:r>
      <w:r>
        <w:rPr>
          <w:b/>
          <w:bCs/>
        </w:rPr>
        <w:t xml:space="preserve">zero is a valid answer and must still be reported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4.b.1</w:t>
      </w:r>
      <w:r>
        <w:t xml:space="preserve"> </w:t>
      </w:r>
      <w:r>
        <w:t xml:space="preserve">— Scholarship money flows (split: government scholarship / international aid / self-funded).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4.c.1</w:t>
      </w:r>
      <w:r>
        <w:t xml:space="preserve"> </w:t>
      </w:r>
      <w:r>
        <w:t xml:space="preserve">— % of teachers with the minimum required qualifications.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4.c.2</w:t>
      </w:r>
      <w:r>
        <w:t xml:space="preserve"> </w:t>
      </w:r>
      <w:r>
        <w:t xml:space="preserve">— Pupil-to-</w:t>
      </w:r>
      <w:r>
        <w:rPr>
          <w:b/>
          <w:bCs/>
        </w:rPr>
        <w:t xml:space="preserve">trained</w:t>
      </w:r>
      <w:r>
        <w:t xml:space="preserve">-teacher ratio.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4.c.3</w:t>
      </w:r>
      <w:r>
        <w:t xml:space="preserve"> </w:t>
      </w:r>
      <w:r>
        <w:t xml:space="preserve">— % of teachers qualified to national standards, by institution type.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4.c.4</w:t>
      </w:r>
      <w:r>
        <w:t xml:space="preserve"> </w:t>
      </w:r>
      <w:r>
        <w:t xml:space="preserve">— Pupil-to-</w:t>
      </w:r>
      <w:r>
        <w:rPr>
          <w:b/>
          <w:bCs/>
        </w:rPr>
        <w:t xml:space="preserve">qualified</w:t>
      </w:r>
      <w:r>
        <w:t xml:space="preserve">-teacher ratio.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4.c.5</w:t>
      </w:r>
      <w:r>
        <w:t xml:space="preserve"> </w:t>
      </w:r>
      <w:r>
        <w:t xml:space="preserve">— Teacher salary compared to other similar-qualification jobs.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4.c.6</w:t>
      </w:r>
      <w:r>
        <w:t xml:space="preserve"> </w:t>
      </w:r>
      <w:r>
        <w:t xml:space="preserve">— Teacher attrition rate (how many left).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4.c.7</w:t>
      </w:r>
      <w:r>
        <w:t xml:space="preserve"> </w:t>
      </w:r>
      <w:r>
        <w:t xml:space="preserve">— % of teachers who got training (CPD) in the last 12 months.</w:t>
      </w:r>
    </w:p>
    <w:p>
      <w:pPr>
        <w:pStyle w:val="FirstParagraph"/>
      </w:pPr>
      <w:r>
        <w:rPr>
          <w:b/>
          <w:bCs/>
        </w:rPr>
        <w:t xml:space="preserve">Important note on this sheet:</w:t>
      </w:r>
      <w:r>
        <w:t xml:space="preserve"> </w:t>
      </w:r>
      <w:r>
        <w:t xml:space="preserve">SDG</w:t>
      </w:r>
      <w:r>
        <w:t xml:space="preserve"> </w:t>
      </w:r>
      <w:r>
        <w:rPr>
          <w:b/>
          <w:bCs/>
        </w:rPr>
        <w:t xml:space="preserve">4.1.1</w:t>
      </w:r>
      <w:r>
        <w:t xml:space="preserve"> </w:t>
      </w:r>
      <w:r>
        <w:t xml:space="preserve">(minimum reading/math proficiency) is for primary/lower-secondary schools only —</w:t>
      </w:r>
      <w:r>
        <w:t xml:space="preserve"> </w:t>
      </w:r>
      <w:r>
        <w:rPr>
          <w:b/>
          <w:bCs/>
        </w:rPr>
        <w:t xml:space="preserve">do NOT report post-secondary results under it.</w:t>
      </w:r>
      <w:r>
        <w:t xml:space="preserve"> </w:t>
      </w:r>
      <w:r>
        <w:t xml:space="preserve">And SDG</w:t>
      </w:r>
      <w:r>
        <w:t xml:space="preserve"> </w:t>
      </w:r>
      <w:r>
        <w:rPr>
          <w:b/>
          <w:bCs/>
        </w:rPr>
        <w:t xml:space="preserve">4.a.1</w:t>
      </w:r>
      <w:r>
        <w:t xml:space="preserve"> </w:t>
      </w:r>
      <w:r>
        <w:t xml:space="preserve">(facilities: water, toilets, electricity, internet) is collected on the Finance sheet.</w:t>
      </w:r>
    </w:p>
    <w:bookmarkEnd w:id="11"/>
    <w:bookmarkStart w:id="12" w:name="sheet-2-cover-the-front-page"/>
    <w:p>
      <w:pPr>
        <w:pStyle w:val="Heading3"/>
      </w:pPr>
      <w:r>
        <w:t xml:space="preserve">Sheet 2 —</w:t>
      </w:r>
      <w:r>
        <w:t xml:space="preserve"> </w:t>
      </w:r>
      <w:r>
        <w:t xml:space="preserve">“Cover”</w:t>
      </w:r>
      <w:r>
        <w:t xml:space="preserve"> </w:t>
      </w:r>
      <w:r>
        <w:t xml:space="preserve">(the front page)</w:t>
      </w:r>
    </w:p>
    <w:p>
      <w:pPr>
        <w:pStyle w:val="FirstParagraph"/>
      </w:pPr>
      <w:r>
        <w:t xml:space="preserve">Admin details: institution name, who completed it, date, signature, and an</w:t>
      </w:r>
      <w:r>
        <w:t xml:space="preserve"> </w:t>
      </w:r>
      <w:r>
        <w:t xml:space="preserve">“official use only”</w:t>
      </w:r>
      <w:r>
        <w:t xml:space="preserve"> </w:t>
      </w:r>
      <w:r>
        <w:t xml:space="preserve">box for the ministry. Instructions repeat the</w:t>
      </w:r>
      <w:r>
        <w:t xml:space="preserve"> </w:t>
      </w:r>
      <w:r>
        <w:rPr>
          <w:b/>
          <w:bCs/>
        </w:rPr>
        <w:t xml:space="preserve">15 October 2025</w:t>
      </w:r>
      <w:r>
        <w:t xml:space="preserve"> </w:t>
      </w:r>
      <w:r>
        <w:t xml:space="preserve">snapshot date. (The</w:t>
      </w:r>
      <w:r>
        <w:t xml:space="preserve"> </w:t>
      </w:r>
      <w:r>
        <w:t xml:space="preserve">“XXXX”</w:t>
      </w:r>
      <w:r>
        <w:t xml:space="preserve"> </w:t>
      </w:r>
      <w:r>
        <w:t xml:space="preserve">placeholders mean the ministry will fill in return address/deadline before sending it out.)</w:t>
      </w:r>
    </w:p>
    <w:bookmarkEnd w:id="12"/>
    <w:bookmarkStart w:id="13" w:name="sheet-3-definitions-glossary"/>
    <w:p>
      <w:pPr>
        <w:pStyle w:val="Heading3"/>
      </w:pPr>
      <w:r>
        <w:t xml:space="preserve">Sheet 3 —</w:t>
      </w:r>
      <w:r>
        <w:t xml:space="preserve"> </w:t>
      </w:r>
      <w:r>
        <w:t xml:space="preserve">“Definitions”</w:t>
      </w:r>
      <w:r>
        <w:t xml:space="preserve"> </w:t>
      </w:r>
      <w:r>
        <w:t xml:space="preserve">(glossary)</w:t>
      </w:r>
    </w:p>
    <w:p>
      <w:pPr>
        <w:pStyle w:val="FirstParagraph"/>
      </w:pPr>
      <w:r>
        <w:t xml:space="preserve">The form’s own dictionary. Key definitions:</w:t>
      </w:r>
      <w:r>
        <w:t xml:space="preserve"> </w:t>
      </w:r>
      <w:r>
        <w:rPr>
          <w:b/>
          <w:bCs/>
        </w:rPr>
        <w:t xml:space="preserve">Age</w:t>
      </w:r>
      <w:r>
        <w:t xml:space="preserve"> </w:t>
      </w:r>
      <w:r>
        <w:t xml:space="preserve">= age at last birthday;</w:t>
      </w:r>
      <w:r>
        <w:t xml:space="preserve"> </w:t>
      </w:r>
      <w:r>
        <w:rPr>
          <w:b/>
          <w:bCs/>
        </w:rPr>
        <w:t xml:space="preserve">Dropout</w:t>
      </w:r>
      <w:r>
        <w:t xml:space="preserve"> </w:t>
      </w:r>
      <w:r>
        <w:t xml:space="preserve">= leaves before finishing for any reason;</w:t>
      </w:r>
      <w:r>
        <w:t xml:space="preserve"> </w:t>
      </w:r>
      <w:r>
        <w:rPr>
          <w:b/>
          <w:bCs/>
        </w:rPr>
        <w:t xml:space="preserve">Completed Certified</w:t>
      </w:r>
      <w:r>
        <w:t xml:space="preserve"> </w:t>
      </w:r>
      <w:r>
        <w:t xml:space="preserve">= finished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got a certificate;</w:t>
      </w:r>
      <w:r>
        <w:t xml:space="preserve"> </w:t>
      </w:r>
      <w:r>
        <w:rPr>
          <w:b/>
          <w:bCs/>
        </w:rPr>
        <w:t xml:space="preserve">Completed Uncertified</w:t>
      </w:r>
      <w:r>
        <w:t xml:space="preserve"> </w:t>
      </w:r>
      <w:r>
        <w:t xml:space="preserve">= finished but got</w:t>
      </w:r>
      <w:r>
        <w:t xml:space="preserve"> </w:t>
      </w:r>
      <w:r>
        <w:rPr>
          <w:i/>
          <w:iCs/>
        </w:rPr>
        <w:t xml:space="preserve">no</w:t>
      </w:r>
      <w:r>
        <w:t xml:space="preserve"> </w:t>
      </w:r>
      <w:r>
        <w:t xml:space="preserve">certificate; plus the abbreviations already listed in section 2 above.</w:t>
      </w:r>
    </w:p>
    <w:bookmarkEnd w:id="13"/>
    <w:bookmarkStart w:id="14" w:name="X72ac17214a087804a4e046aba8969699161034a"/>
    <w:p>
      <w:pPr>
        <w:pStyle w:val="Heading3"/>
      </w:pPr>
      <w:r>
        <w:t xml:space="preserve">Sheet 4 —</w:t>
      </w:r>
      <w:r>
        <w:t xml:space="preserve"> </w:t>
      </w:r>
      <w:r>
        <w:t xml:space="preserve">“Background”</w:t>
      </w:r>
      <w:r>
        <w:t xml:space="preserve"> </w:t>
      </w:r>
      <w:r>
        <w:t xml:space="preserve">(Section 1 — about the institution)</w:t>
      </w:r>
    </w:p>
    <w:p>
      <w:pPr>
        <w:pStyle w:val="FirstParagraph"/>
      </w:pPr>
      <w:r>
        <w:t xml:space="preserve">Basic facts about the institution: address, phone, email, website, date established, head’s name, and</w:t>
      </w:r>
      <w:r>
        <w:t xml:space="preserve"> </w:t>
      </w:r>
      <w:r>
        <w:rPr>
          <w:b/>
          <w:bCs/>
        </w:rPr>
        <w:t xml:space="preserve">management type</w:t>
      </w:r>
      <w:r>
        <w:t xml:space="preserve"> </w:t>
      </w:r>
      <w:r>
        <w:t xml:space="preserve">(run by Ministry of Education / a Board or Council / Other). Also:</w:t>
      </w:r>
      <w:r>
        <w:t xml:space="preserve"> </w:t>
      </w:r>
      <w:r>
        <w:t xml:space="preserve">- Staff counts (teaching and non-teaching) and total enrolment.</w:t>
      </w:r>
      <w:r>
        <w:t xml:space="preserve"> </w:t>
      </w:r>
      <w:r>
        <w:t xml:space="preserve">- Enrolment broken down by</w:t>
      </w:r>
      <w:r>
        <w:t xml:space="preserve"> </w:t>
      </w:r>
      <w:r>
        <w:rPr>
          <w:b/>
          <w:bCs/>
        </w:rPr>
        <w:t xml:space="preserve">Division</w:t>
      </w:r>
      <w:r>
        <w:t xml:space="preserve"> </w:t>
      </w:r>
      <w:r>
        <w:t xml:space="preserve">(department) and</w:t>
      </w:r>
      <w:r>
        <w:t xml:space="preserve"> </w:t>
      </w:r>
      <w:r>
        <w:rPr>
          <w:b/>
          <w:bCs/>
        </w:rPr>
        <w:t xml:space="preserve">gender</w:t>
      </w:r>
      <w:r>
        <w:t xml:space="preserve">.</w:t>
      </w:r>
      <w:r>
        <w:t xml:space="preserve"> </w:t>
      </w:r>
      <w:r>
        <w:t xml:space="preserve">- Yes/No questions on: strategic plan,</w:t>
      </w:r>
      <w:r>
        <w:t xml:space="preserve"> </w:t>
      </w:r>
      <w:r>
        <w:rPr>
          <w:b/>
          <w:bCs/>
        </w:rPr>
        <w:t xml:space="preserve">Disaster Management Plan</w:t>
      </w:r>
      <w:r>
        <w:t xml:space="preserve"> </w:t>
      </w:r>
      <w:r>
        <w:t xml:space="preserve">(SDG 4.a.3), number of emergency drills (4.a.3), disability access (4.a.1), NREN membership (4.a.1), and staff doing academic research.</w:t>
      </w:r>
    </w:p>
    <w:bookmarkEnd w:id="14"/>
    <w:bookmarkStart w:id="15" w:name="X89173ea89f217de95e32f679058ce4e91902562"/>
    <w:p>
      <w:pPr>
        <w:pStyle w:val="Heading3"/>
      </w:pPr>
      <w:r>
        <w:t xml:space="preserve">Sheet 5 —</w:t>
      </w:r>
      <w:r>
        <w:t xml:space="preserve"> </w:t>
      </w:r>
      <w:r>
        <w:t xml:space="preserve">“Enrolment”</w:t>
      </w:r>
      <w:r>
        <w:t xml:space="preserve"> </w:t>
      </w:r>
      <w:r>
        <w:t xml:space="preserve">(Table T2 — who is studying now)</w:t>
      </w:r>
    </w:p>
    <w:p>
      <w:pPr>
        <w:pStyle w:val="FirstParagraph"/>
      </w:pPr>
      <w:r>
        <w:t xml:space="preserve">The big student-numbers table.</w:t>
      </w:r>
      <w:r>
        <w:t xml:space="preserve"> </w:t>
      </w:r>
      <w:r>
        <w:rPr>
          <w:b/>
          <w:bCs/>
        </w:rPr>
        <w:t xml:space="preserve">One block per Division.</w:t>
      </w:r>
      <w:r>
        <w:t xml:space="preserve"> </w:t>
      </w:r>
      <w:r>
        <w:t xml:space="preserve">For each programme you record:</w:t>
      </w:r>
      <w:r>
        <w:t xml:space="preserve"> </w:t>
      </w:r>
      <w:r>
        <w:t xml:space="preserve">- Qualification type (Certificate, CAPE, Associate Degree, Undergraduate, Graduate, Postgraduate, stand-alone courses).</w:t>
      </w:r>
      <w:r>
        <w:t xml:space="preserve"> </w:t>
      </w:r>
      <w:r>
        <w:t xml:space="preserve">- Whether it’s</w:t>
      </w:r>
      <w:r>
        <w:t xml:space="preserve"> </w:t>
      </w:r>
      <w:r>
        <w:rPr>
          <w:b/>
          <w:bCs/>
        </w:rPr>
        <w:t xml:space="preserve">accredited</w:t>
      </w:r>
      <w:r>
        <w:t xml:space="preserve"> </w:t>
      </w:r>
      <w:r>
        <w:t xml:space="preserve">(No / Locally / Regionally / Internationally) and whether it’s</w:t>
      </w:r>
      <w:r>
        <w:t xml:space="preserve"> </w:t>
      </w:r>
      <w:r>
        <w:rPr>
          <w:b/>
          <w:bCs/>
        </w:rPr>
        <w:t xml:space="preserve">TVET</w:t>
      </w:r>
      <w:r>
        <w:t xml:space="preserve"> </w:t>
      </w:r>
      <w:r>
        <w:t xml:space="preserve">(Y/N → feeds 4.3.3).</w:t>
      </w:r>
      <w:r>
        <w:t xml:space="preserve"> </w:t>
      </w:r>
      <w:r>
        <w:t xml:space="preserve">- Student counts split</w:t>
      </w:r>
      <w:r>
        <w:t xml:space="preserve"> </w:t>
      </w:r>
      <w:r>
        <w:rPr>
          <w:b/>
          <w:bCs/>
        </w:rPr>
        <w:t xml:space="preserve">by year (1–4), by sex (M/F), and full-time vs part-time.</w:t>
      </w:r>
      <w:r>
        <w:t xml:space="preserve"> </w:t>
      </w:r>
      <w:r>
        <w:t xml:space="preserve">- Counts by nationality:</w:t>
      </w:r>
      <w:r>
        <w:t xml:space="preserve"> </w:t>
      </w:r>
      <w:r>
        <w:rPr>
          <w:b/>
          <w:bCs/>
        </w:rPr>
        <w:t xml:space="preserve">OECS nationals / other CARICOM / other</w:t>
      </w:r>
      <w:r>
        <w:t xml:space="preserve">, each by sex.</w:t>
      </w:r>
      <w:r>
        <w:t xml:space="preserve"> </w:t>
      </w:r>
      <w:r>
        <w:t xml:space="preserve">- Whether the student is on an</w:t>
      </w:r>
      <w:r>
        <w:t xml:space="preserve"> </w:t>
      </w:r>
      <w:r>
        <w:rPr>
          <w:b/>
          <w:bCs/>
        </w:rPr>
        <w:t xml:space="preserve">ODA scholarship</w:t>
      </w:r>
      <w:r>
        <w:t xml:space="preserve"> </w:t>
      </w:r>
      <w:r>
        <w:t xml:space="preserve">(feeds 4.b.1).</w:t>
      </w:r>
    </w:p>
    <w:p>
      <w:pPr>
        <w:pStyle w:val="BodyText"/>
      </w:pPr>
      <w:r>
        <w:rPr>
          <w:i/>
          <w:iCs/>
        </w:rPr>
        <w:t xml:space="preserve">(In the file every data cell is currently 0 — it’s a blank template.)</w:t>
      </w:r>
    </w:p>
    <w:bookmarkEnd w:id="15"/>
    <w:bookmarkStart w:id="16" w:name="X16859a1d00ad944de224c6f3247106474b1ace3"/>
    <w:p>
      <w:pPr>
        <w:pStyle w:val="Heading3"/>
      </w:pPr>
      <w:r>
        <w:t xml:space="preserve">Sheet 6 —</w:t>
      </w:r>
      <w:r>
        <w:t xml:space="preserve"> </w:t>
      </w:r>
      <w:r>
        <w:t xml:space="preserve">“Age Dis”</w:t>
      </w:r>
      <w:r>
        <w:t xml:space="preserve"> </w:t>
      </w:r>
      <w:r>
        <w:t xml:space="preserve">(Table T3 — enrolment by age)</w:t>
      </w:r>
    </w:p>
    <w:p>
      <w:pPr>
        <w:pStyle w:val="FirstParagraph"/>
      </w:pPr>
      <w:r>
        <w:t xml:space="preserve">Same students, but broken down by</w:t>
      </w:r>
      <w:r>
        <w:t xml:space="preserve"> </w:t>
      </w:r>
      <w:r>
        <w:rPr>
          <w:b/>
          <w:bCs/>
        </w:rPr>
        <w:t xml:space="preserve">age</w:t>
      </w:r>
      <w:r>
        <w:t xml:space="preserve"> </w:t>
      </w:r>
      <w:r>
        <w:t xml:space="preserve">(under 16, each year 16–29, then bands 30–34, 35–39, 40+, unknown) and by qualification and sex.</w:t>
      </w:r>
      <w:r>
        <w:t xml:space="preserve"> </w:t>
      </w:r>
      <w:r>
        <w:rPr>
          <w:b/>
          <w:bCs/>
        </w:rPr>
        <w:t xml:space="preserve">Critical rule: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15–24 age rows are mandatory</w:t>
      </w:r>
      <w:r>
        <w:t xml:space="preserve"> </w:t>
      </w:r>
      <w:r>
        <w:t xml:space="preserve">— they are the only way to calculate the TVET participation rate (SDG 4.3.3). Those rows are marked with arrows pointing to</w:t>
      </w:r>
      <w:r>
        <w:t xml:space="preserve"> </w:t>
      </w:r>
      <w:r>
        <w:t xml:space="preserve">“← SDG 4.3.3.”</w:t>
      </w:r>
    </w:p>
    <w:bookmarkEnd w:id="16"/>
    <w:bookmarkStart w:id="17" w:name="X7431e19c950094cb539fe515528b0afff95ccf5"/>
    <w:p>
      <w:pPr>
        <w:pStyle w:val="Heading3"/>
      </w:pPr>
      <w:r>
        <w:t xml:space="preserve">Sheet 7 —</w:t>
      </w:r>
      <w:r>
        <w:t xml:space="preserve"> </w:t>
      </w:r>
      <w:r>
        <w:t xml:space="preserve">“Leavers”</w:t>
      </w:r>
      <w:r>
        <w:t xml:space="preserve"> </w:t>
      </w:r>
      <w:r>
        <w:t xml:space="preserve">(Tables T4–T7 — who left and who graduated)</w:t>
      </w:r>
    </w:p>
    <w:p>
      <w:pPr>
        <w:pStyle w:val="FirstParagraph"/>
      </w:pPr>
      <w:r>
        <w:t xml:space="preserve">Four sub-tables: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T4 — Leavers:</w:t>
      </w:r>
      <w:r>
        <w:t xml:space="preserve"> </w:t>
      </w:r>
      <w:r>
        <w:t xml:space="preserve">counts of Dropouts, Repeaters, Transfers-out, Completed-Certified, and Completed-Uncertified, by year and sex.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T5 — Reasons for dropping out:</w:t>
      </w:r>
      <w:r>
        <w:t xml:space="preserve"> </w:t>
      </w:r>
      <w:r>
        <w:t xml:space="preserve">tick boxes — Migration, Withdrawal, Expulsion, Financial difficulties, Personal/Family, Other.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T6 — Students with disabilities:</w:t>
      </w:r>
      <w:r>
        <w:t xml:space="preserve"> </w:t>
      </w:r>
      <w:r>
        <w:t xml:space="preserve">count by male/female (feeds equity indicator 4.5.1).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T7 — Graduates by field of study:</w:t>
      </w:r>
      <w:r>
        <w:t xml:space="preserve"> </w:t>
      </w:r>
      <w:r>
        <w:t xml:space="preserve">graduates grouped into the 10 standard ISCED fields (Education; Arts &amp; Humanities; Social Sciences; Business/Law; Natural Sciences/Maths; ICT; Engineering/Manufacturing/Construction; Agriculture; Health &amp; Welfare; Services), by sex.</w:t>
      </w:r>
    </w:p>
    <w:bookmarkEnd w:id="17"/>
    <w:bookmarkStart w:id="18" w:name="Xd09336df10764f8790a0617b18b6b61e412de0b"/>
    <w:p>
      <w:pPr>
        <w:pStyle w:val="Heading3"/>
      </w:pPr>
      <w:r>
        <w:t xml:space="preserve">Sheet 8 —</w:t>
      </w:r>
      <w:r>
        <w:t xml:space="preserve"> </w:t>
      </w:r>
      <w:r>
        <w:t xml:space="preserve">“Teaching Staff”</w:t>
      </w:r>
      <w:r>
        <w:t xml:space="preserve"> </w:t>
      </w:r>
      <w:r>
        <w:t xml:space="preserve">(Tables T8–T9 — teacher qualifications)</w:t>
      </w:r>
    </w:p>
    <w:p>
      <w:pPr>
        <w:pStyle w:val="FirstParagraph"/>
      </w:pPr>
      <w:r>
        <w:t xml:space="preserve">Teacher head-counts by</w:t>
      </w:r>
      <w:r>
        <w:t xml:space="preserve"> </w:t>
      </w:r>
      <w:r>
        <w:rPr>
          <w:b/>
          <w:bCs/>
        </w:rPr>
        <w:t xml:space="preserve">highest qualification</w:t>
      </w:r>
      <w:r>
        <w:t xml:space="preserve"> </w:t>
      </w:r>
      <w:r>
        <w:t xml:space="preserve">(PhD, Masters, Postgrad Diploma, Bachelor, Associate, Diploma, Certificate, CAPE/A-Levels) and sex.</w:t>
      </w:r>
      <w:r>
        <w:t xml:space="preserve"> </w:t>
      </w:r>
      <w:r>
        <w:rPr>
          <w:b/>
          <w:bCs/>
        </w:rPr>
        <w:t xml:space="preserve">You must fill BOTH tables:</w:t>
      </w:r>
      <w:r>
        <w:t xml:space="preserve"> </w:t>
      </w:r>
      <w:r>
        <w:t xml:space="preserve">T8 = Full-Time staff, T9 = Part-Time staff. Also records totals and</w:t>
      </w:r>
      <w:r>
        <w:t xml:space="preserve"> </w:t>
      </w:r>
      <w:r>
        <w:rPr>
          <w:b/>
          <w:bCs/>
        </w:rPr>
        <w:t xml:space="preserve">totals of</w:t>
      </w:r>
      <w:r>
        <w:rPr>
          <w:b/>
          <w:bCs/>
        </w:rPr>
        <w:t xml:space="preserve"> </w:t>
      </w:r>
      <w:r>
        <w:rPr>
          <w:b/>
          <w:bCs/>
        </w:rPr>
        <w:t xml:space="preserve">“trained”</w:t>
      </w:r>
      <w:r>
        <w:rPr>
          <w:b/>
          <w:bCs/>
        </w:rPr>
        <w:t xml:space="preserve"> </w:t>
      </w:r>
      <w:r>
        <w:rPr>
          <w:b/>
          <w:bCs/>
        </w:rPr>
        <w:t xml:space="preserve">teachers.</w:t>
      </w:r>
      <w:r>
        <w:t xml:space="preserve"> </w:t>
      </w:r>
      <w:r>
        <w:t xml:space="preserve">This feeds the teacher-quality and pupil-teacher-ratio indicators (4.c.1–4.c.4).</w:t>
      </w:r>
    </w:p>
    <w:bookmarkEnd w:id="18"/>
    <w:bookmarkStart w:id="19" w:name="X05d3d5a42640daee8b40eadef0b8d70d2b8fc08"/>
    <w:p>
      <w:pPr>
        <w:pStyle w:val="Heading3"/>
      </w:pPr>
      <w:r>
        <w:t xml:space="preserve">Sheet 9 —</w:t>
      </w:r>
      <w:r>
        <w:t xml:space="preserve"> </w:t>
      </w:r>
      <w:r>
        <w:t xml:space="preserve">“Staff Profile”</w:t>
      </w:r>
      <w:r>
        <w:t xml:space="preserve"> </w:t>
      </w:r>
      <w:r>
        <w:t xml:space="preserve">(Table T10 — one row per teacher)</w:t>
      </w:r>
    </w:p>
    <w:p>
      <w:pPr>
        <w:pStyle w:val="FirstParagraph"/>
      </w:pPr>
      <w:r>
        <w:t xml:space="preserve">A detailed staff list —</w:t>
      </w:r>
      <w:r>
        <w:t xml:space="preserve"> </w:t>
      </w:r>
      <w:r>
        <w:rPr>
          <w:b/>
          <w:bCs/>
        </w:rPr>
        <w:t xml:space="preserve">one line per individual teacher</w:t>
      </w:r>
      <w:r>
        <w:t xml:space="preserve"> </w:t>
      </w:r>
      <w:r>
        <w:t xml:space="preserve">(room for ~50). Columns: name, sex, role/classification (PR=Principal, VP=Vice-Principal, HOD=Head of Department, TT=Trained Teacher), subjects taught, periods taught, years of experience, date of birth, nationality, highest qualification, specialisation,</w:t>
      </w:r>
      <w:r>
        <w:t xml:space="preserve"> </w:t>
      </w:r>
      <w:r>
        <w:rPr>
          <w:b/>
          <w:bCs/>
        </w:rPr>
        <w:t xml:space="preserve">CPD hours in the past year (required, SDG 4.c.7)</w:t>
      </w:r>
      <w:r>
        <w:t xml:space="preserve">, whether appraised last year, and</w:t>
      </w:r>
      <w:r>
        <w:t xml:space="preserve"> </w:t>
      </w:r>
      <w:r>
        <w:rPr>
          <w:b/>
          <w:bCs/>
        </w:rPr>
        <w:t xml:space="preserve">whether they left service this year (SDG 4.c.6)</w:t>
      </w:r>
      <w:r>
        <w:t xml:space="preserve">. Row 8 is a filled-in</w:t>
      </w:r>
      <w:r>
        <w:t xml:space="preserve"> </w:t>
      </w:r>
      <w:r>
        <w:rPr>
          <w:b/>
          <w:bCs/>
        </w:rPr>
        <w:t xml:space="preserve">example</w:t>
      </w:r>
      <w:r>
        <w:t xml:space="preserve"> </w:t>
      </w:r>
      <w:r>
        <w:t xml:space="preserve">(e.g. </w:t>
      </w:r>
      <w:r>
        <w:t xml:space="preserve">“Jane Alexander”</w:t>
      </w:r>
      <w:r>
        <w:t xml:space="preserve">).</w:t>
      </w:r>
    </w:p>
    <w:bookmarkEnd w:id="19"/>
    <w:bookmarkStart w:id="20" w:name="X9ab0cae60cdfd5c8b53434e3108d2d3dd5e2d34"/>
    <w:p>
      <w:pPr>
        <w:pStyle w:val="Heading3"/>
      </w:pPr>
      <w:r>
        <w:t xml:space="preserve">Sheet 10 —</w:t>
      </w:r>
      <w:r>
        <w:t xml:space="preserve"> </w:t>
      </w:r>
      <w:r>
        <w:t xml:space="preserve">“Exams”</w:t>
      </w:r>
      <w:r>
        <w:t xml:space="preserve"> </w:t>
      </w:r>
      <w:r>
        <w:t xml:space="preserve">(Tables T11–T12 — exam results)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T11 — Exam results:</w:t>
      </w:r>
      <w:r>
        <w:t xml:space="preserve"> </w:t>
      </w:r>
      <w:r>
        <w:t xml:space="preserve">for each division and qualification level (CAPE up to PhD), how many</w:t>
      </w:r>
      <w:r>
        <w:t xml:space="preserve"> </w:t>
      </w:r>
      <w:r>
        <w:rPr>
          <w:b/>
          <w:bCs/>
        </w:rPr>
        <w:t xml:space="preserve">sat</w:t>
      </w:r>
      <w:r>
        <w:t xml:space="preserve"> </w:t>
      </w:r>
      <w:r>
        <w:t xml:space="preserve">the exam and how many</w:t>
      </w:r>
      <w:r>
        <w:t xml:space="preserve"> </w:t>
      </w:r>
      <w:r>
        <w:rPr>
          <w:b/>
          <w:bCs/>
        </w:rPr>
        <w:t xml:space="preserve">passed</w:t>
      </w:r>
      <w:r>
        <w:t xml:space="preserve">, split M/F.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T12 — CVQ results:</w:t>
      </w:r>
      <w:r>
        <w:t xml:space="preserve"> </w:t>
      </w:r>
      <w:r>
        <w:t xml:space="preserve">the same, for vocational CVQ Levels 1–5 (feeds the TVET indicator 4.3.3).</w:t>
      </w:r>
    </w:p>
    <w:bookmarkEnd w:id="20"/>
    <w:bookmarkStart w:id="21" w:name="Xcbc07177899d3bb5f0953fa1fd49269773250c7"/>
    <w:p>
      <w:pPr>
        <w:pStyle w:val="Heading3"/>
      </w:pPr>
      <w:r>
        <w:t xml:space="preserve">Sheet 11 —</w:t>
      </w:r>
      <w:r>
        <w:t xml:space="preserve"> </w:t>
      </w:r>
      <w:r>
        <w:t xml:space="preserve">“Finance”</w:t>
      </w:r>
      <w:r>
        <w:t xml:space="preserve"> </w:t>
      </w:r>
      <w:r>
        <w:t xml:space="preserve">(Tables T13–T15 — money and facilities)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T13 — Revenue &amp; expenditure (previous year 2024–2025):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Revenue (money in):</w:t>
      </w:r>
      <w:r>
        <w:t xml:space="preserve"> </w:t>
      </w:r>
      <w:r>
        <w:t xml:space="preserve">Government, Private, Student Fees, Fundraising, Grants, Sale of services, Consultancy, Other.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Recurrent expenditure (money out):</w:t>
      </w:r>
      <w:r>
        <w:t xml:space="preserve"> </w:t>
      </w:r>
      <w:r>
        <w:t xml:space="preserve">Staff pay (split teaching/non-teaching), Wages, Utilities, Supplies, Operating &amp; Maintenance, Office, Training, Travel, Other.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Equity Funding (SDG 4.5.3):</w:t>
      </w:r>
      <w:r>
        <w:t xml:space="preserve"> </w:t>
      </w:r>
      <w:r>
        <w:t xml:space="preserve">Yes/No — is there a formal system to redirect resources to disadvantaged students? If yes, describe it and give the total value.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Teacher Salary Ratio (SDG 4.c.5):</w:t>
      </w:r>
      <w:r>
        <w:t xml:space="preserve"> </w:t>
      </w:r>
      <w:r>
        <w:t xml:space="preserve">average teacher salary ÷ average salary in comparable-qualification jobs (calculated automatically).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T14 — Water (SDG 4.a.1):</w:t>
      </w:r>
      <w:r>
        <w:t xml:space="preserve"> </w:t>
      </w:r>
      <w:r>
        <w:t xml:space="preserve">Is safe water available? Are there handwashing facilities with soap? (Yes/No, with a definition of</w:t>
      </w:r>
      <w:r>
        <w:t xml:space="preserve"> </w:t>
      </w:r>
      <w:r>
        <w:t xml:space="preserve">“safe”</w:t>
      </w:r>
      <w:r>
        <w:t xml:space="preserve"> </w:t>
      </w:r>
      <w:r>
        <w:t xml:space="preserve">vs</w:t>
      </w:r>
      <w:r>
        <w:t xml:space="preserve"> </w:t>
      </w:r>
      <w:r>
        <w:t xml:space="preserve">“unsafe”</w:t>
      </w:r>
      <w:r>
        <w:t xml:space="preserve"> </w:t>
      </w:r>
      <w:r>
        <w:t xml:space="preserve">sources.)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T15 — Sanitation (SDG 4.a.1):</w:t>
      </w:r>
      <w:r>
        <w:t xml:space="preserve"> </w:t>
      </w:r>
      <w:r>
        <w:t xml:space="preserve">counts of toilets — staff (M/F/urinals), student (M/F), common-use, and</w:t>
      </w:r>
      <w:r>
        <w:t xml:space="preserve"> </w:t>
      </w:r>
      <w:r>
        <w:rPr>
          <w:b/>
          <w:bCs/>
        </w:rPr>
        <w:t xml:space="preserve">toilets for students with disabilities.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Xa06c742ea074d8d81f4f9102ba71d36e6bb763a"/>
    <w:p>
      <w:pPr>
        <w:pStyle w:val="Heading2"/>
      </w:pPr>
      <w:r>
        <w:t xml:space="preserve">4. How the pieces fit together (the logic to remember)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It’s a once-a-year national statistics return</w:t>
      </w:r>
      <w:r>
        <w:t xml:space="preserve">, snapshot-dated</w:t>
      </w:r>
      <w:r>
        <w:t xml:space="preserve"> </w:t>
      </w:r>
      <w:r>
        <w:rPr>
          <w:b/>
          <w:bCs/>
        </w:rPr>
        <w:t xml:space="preserve">15 Oct 2025</w:t>
      </w:r>
      <w:r>
        <w:t xml:space="preserve">, for institutions teaching above high-school level.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Every table feeds a UN global goal (SDG 4 = Quality Education).</w:t>
      </w:r>
      <w:r>
        <w:t xml:space="preserve"> </w:t>
      </w:r>
      <w:r>
        <w:t xml:space="preserve">The whole point of the redesign is that</w:t>
      </w:r>
      <w:r>
        <w:t xml:space="preserve"> </w:t>
      </w:r>
      <w:r>
        <w:t xml:space="preserve">“SDG-tagged”</w:t>
      </w:r>
      <w:r>
        <w:t xml:space="preserve"> </w:t>
      </w:r>
      <w:r>
        <w:t xml:space="preserve">labelling, so the ministry can report internationally without re-processing the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Most answers must be split by SEX (M/F)</w:t>
      </w:r>
      <w:r>
        <w:t xml:space="preserve"> </w:t>
      </w:r>
      <w:r>
        <w:t xml:space="preserve">— gender equality (</w:t>
      </w:r>
      <w:r>
        <w:t xml:space="preserve">“parity”</w:t>
      </w:r>
      <w:r>
        <w:t xml:space="preserve">) is tracked everywhere.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Three things are flagged as especially mandatory / easy to forget: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Age data for 15–24</w:t>
      </w:r>
      <w:r>
        <w:t xml:space="preserve"> </w:t>
      </w:r>
      <w:r>
        <w:t xml:space="preserve">(without it, TVET participation can’t be calculated).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CPD hours per teacher</w:t>
      </w:r>
      <w:r>
        <w:t xml:space="preserve"> </w:t>
      </w:r>
      <w:r>
        <w:t xml:space="preserve">(without it, teacher-training indicator fails).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Attacks on students/staff = report even if the answer is zero.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Numerator ÷ Denominator</w:t>
      </w:r>
      <w:r>
        <w:t xml:space="preserve"> </w:t>
      </w:r>
      <w:r>
        <w:t xml:space="preserve">thinking runs through it: e.g. enrolment ÷ population = enrolment ratio; trained teachers vs pupils = teacher ratio; teacher pay ÷ other-job pay = salary ratio.</w:t>
      </w:r>
    </w:p>
    <w:p>
      <w:pPr>
        <w:pStyle w:val="Compact"/>
        <w:numPr>
          <w:ilvl w:val="0"/>
          <w:numId w:val="1006"/>
        </w:numPr>
      </w:pPr>
      <w:r>
        <w:t xml:space="preserve">In the file itself</w:t>
      </w:r>
      <w:r>
        <w:t xml:space="preserve"> </w:t>
      </w:r>
      <w:r>
        <w:rPr>
          <w:b/>
          <w:bCs/>
        </w:rPr>
        <w:t xml:space="preserve">all data cells are blank/zero</w:t>
      </w:r>
      <w:r>
        <w:t xml:space="preserve"> </w:t>
      </w:r>
      <w:r>
        <w:t xml:space="preserve">— it is an empty template to be distributed and completed.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2026-06-17T01:04:04Z</dcterms:created>
  <dcterms:modified xsi:type="dcterms:W3CDTF">2026-06-17T01:04:04Z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