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6"/>
          <w:szCs w:val="56"/>
        </w:rPr>
        <w:t xml:space="preserve">APEX TERMINAL</w:t>
      </w:r>
    </w:p>
    <w:p>
      <w:pPr>
        <w:spacing w:after="100"/>
        <w:jc w:val="center"/>
      </w:pPr>
      <w:r>
        <w:rPr>
          <w:rFonts w:ascii="Arial" w:cs="Arial" w:eastAsia="Arial" w:hAnsi="Arial"/>
          <w:color w:val="2E5090"/>
          <w:sz w:val="32"/>
          <w:szCs w:val="32"/>
        </w:rPr>
        <w:t xml:space="preserve">System Architecture Overview</w:t>
      </w:r>
    </w:p>
    <w:p>
      <w:pPr>
        <w:pBdr>
          <w:bottom w:val="single" w:color="2E5090" w:sz="6" w:space="1"/>
        </w:pBdr>
        <w:spacing w:after="600"/>
        <w:jc w:val="center"/>
      </w:pPr>
      <w:r>
        <w:rPr>
          <w:rFonts w:ascii="Arial" w:cs="Arial" w:eastAsia="Arial" w:hAnsi="Arial"/>
          <w:i/>
          <w:iCs/>
          <w:color w:val="666666"/>
          <w:sz w:val="24"/>
          <w:szCs w:val="24"/>
        </w:rPr>
        <w:t xml:space="preserve">Technical Reference for Causal Intelligence Platform</w:t>
      </w:r>
    </w:p>
    <w:p>
      <w:pPr>
        <w:spacing w:after="100"/>
        <w:jc w:val="center"/>
      </w:pPr>
      <w:r>
        <w:rPr>
          <w:rFonts w:ascii="Arial" w:cs="Arial" w:eastAsia="Arial" w:hAnsi="Arial"/>
          <w:color w:val="444444"/>
          <w:sz w:val="24"/>
          <w:szCs w:val="24"/>
        </w:rPr>
        <w:t xml:space="preserve">Apex Analytica</w:t>
      </w:r>
    </w:p>
    <w:p>
      <w:pPr>
        <w:spacing w:after="100"/>
        <w:jc w:val="center"/>
      </w:pPr>
      <w:r>
        <w:rPr>
          <w:rFonts w:ascii="Arial" w:cs="Arial" w:eastAsia="Arial" w:hAnsi="Arial"/>
          <w:color w:val="666666"/>
          <w:sz w:val="22"/>
          <w:szCs w:val="22"/>
        </w:rPr>
        <w:t xml:space="preserve">March 2026</w:t>
      </w:r>
    </w:p>
    <w:p>
      <w:pPr>
        <w:spacing w:after="100"/>
        <w:jc w:val="center"/>
      </w:pPr>
      <w:r>
        <w:rPr>
          <w:rFonts w:ascii="Arial" w:cs="Arial" w:eastAsia="Arial" w:hAnsi="Arial"/>
          <w:b/>
          <w:bCs/>
          <w:color w:val="CC0000"/>
          <w:sz w:val="20"/>
          <w:szCs w:val="20"/>
        </w:rPr>
        <w:t xml:space="preserve">CONFIDENTIAL</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2A4A"/>
          <w:sz w:val="32"/>
          <w:szCs w:val="32"/>
        </w:rPr>
        <w:t xml:space="preserve">1. EXECUTIVE SUMMARY</w:t>
      </w:r>
    </w:p>
    <w:p>
      <w:pPr>
        <w:spacing w:after="120"/>
      </w:pPr>
      <w:r>
        <w:rPr>
          <w:rFonts w:ascii="Arial" w:cs="Arial" w:eastAsia="Arial" w:hAnsi="Arial"/>
          <w:sz w:val="22"/>
          <w:szCs w:val="22"/>
        </w:rPr>
        <w:t xml:space="preserve">Apex Terminal is a strategic causal intelligence platform purpose-built for analyzing complex global supply chain vulnerabilities. The system integrates a 65-node Middle East energy and fertilizer supply chain graph with a four-stage analytical pipeline:</w:t>
      </w:r>
    </w:p>
    <w:p>
      <w:pPr>
        <w:pStyle w:val="ListParagraph"/>
        <w:numPr>
          <w:ilvl w:val="0"/>
          <w:numId w:val="2"/>
        </w:numPr>
        <w:spacing w:after="120"/>
      </w:pPr>
      <w:r>
        <w:rPr>
          <w:rFonts w:ascii="Arial" w:cs="Arial" w:eastAsia="Arial" w:hAnsi="Arial"/>
          <w:b/>
          <w:bCs/>
          <w:sz w:val="22"/>
          <w:szCs w:val="22"/>
        </w:rPr>
        <w:t xml:space="preserve">Spirtes</w:t>
      </w:r>
      <w:r>
        <w:rPr>
          <w:rFonts w:ascii="Arial" w:cs="Arial" w:eastAsia="Arial" w:hAnsi="Arial"/>
          <w:sz w:val="22"/>
          <w:szCs w:val="22"/>
        </w:rPr>
        <w:t xml:space="preserve"> — Structure Discovery (DCD / NOTEARS / PCMCI+ / FCI)</w:t>
      </w:r>
    </w:p>
    <w:p>
      <w:pPr>
        <w:pStyle w:val="ListParagraph"/>
        <w:numPr>
          <w:ilvl w:val="0"/>
          <w:numId w:val="2"/>
        </w:numPr>
        <w:spacing w:after="120"/>
      </w:pPr>
      <w:r>
        <w:rPr>
          <w:rFonts w:ascii="Arial" w:cs="Arial" w:eastAsia="Arial" w:hAnsi="Arial"/>
          <w:b/>
          <w:bCs/>
          <w:sz w:val="22"/>
          <w:szCs w:val="22"/>
        </w:rPr>
        <w:t xml:space="preserve">Tarski</w:t>
      </w:r>
      <w:r>
        <w:rPr>
          <w:rFonts w:ascii="Arial" w:cs="Arial" w:eastAsia="Arial" w:hAnsi="Arial"/>
          <w:sz w:val="22"/>
          <w:szCs w:val="22"/>
        </w:rPr>
        <w:t xml:space="preserve"> — Truth Verification (Physical Constraint Filtering)</w:t>
      </w:r>
    </w:p>
    <w:p>
      <w:pPr>
        <w:pStyle w:val="ListParagraph"/>
        <w:numPr>
          <w:ilvl w:val="0"/>
          <w:numId w:val="2"/>
        </w:numPr>
        <w:spacing w:after="120"/>
      </w:pPr>
      <w:r>
        <w:rPr>
          <w:rFonts w:ascii="Arial" w:cs="Arial" w:eastAsia="Arial" w:hAnsi="Arial"/>
          <w:b/>
          <w:bCs/>
          <w:sz w:val="22"/>
          <w:szCs w:val="22"/>
        </w:rPr>
        <w:t xml:space="preserve">Pearl</w:t>
      </w:r>
      <w:r>
        <w:rPr>
          <w:rFonts w:ascii="Arial" w:cs="Arial" w:eastAsia="Arial" w:hAnsi="Arial"/>
          <w:sz w:val="22"/>
          <w:szCs w:val="22"/>
        </w:rPr>
        <w:t xml:space="preserve"> — Structural Intervention (do-Calculus &amp; Counterfactuals)</w:t>
      </w:r>
    </w:p>
    <w:p>
      <w:pPr>
        <w:pStyle w:val="ListParagraph"/>
        <w:numPr>
          <w:ilvl w:val="0"/>
          <w:numId w:val="2"/>
        </w:numPr>
        <w:spacing w:after="120"/>
      </w:pPr>
      <w:r>
        <w:rPr>
          <w:rFonts w:ascii="Arial" w:cs="Arial" w:eastAsia="Arial" w:hAnsi="Arial"/>
          <w:b/>
          <w:bCs/>
          <w:sz w:val="22"/>
          <w:szCs w:val="22"/>
        </w:rPr>
        <w:t xml:space="preserve">Pareto</w:t>
      </w:r>
      <w:r>
        <w:rPr>
          <w:rFonts w:ascii="Arial" w:cs="Arial" w:eastAsia="Arial" w:hAnsi="Arial"/>
          <w:sz w:val="22"/>
          <w:szCs w:val="22"/>
        </w:rPr>
        <w:t xml:space="preserve"> — Scenario Stress Test (Shock Injection &amp; Defense Optimization)</w:t>
      </w:r>
    </w:p>
    <w:p>
      <w:pPr>
        <w:spacing w:after="120"/>
      </w:pPr>
      <w:r>
        <w:rPr>
          <w:rFonts w:ascii="Arial" w:cs="Arial" w:eastAsia="Arial" w:hAnsi="Arial"/>
          <w:sz w:val="22"/>
          <w:szCs w:val="22"/>
        </w:rPr>
        <w:t xml:space="preserve">Built on Next.js 16, React 19, Three.js for 3D visualization, and Zustand for state management, the platform enables real-time cascade simulation, counterfactual analysis, and defense optimization against supply chain disruptions.</w:t>
      </w:r>
    </w:p>
    <w:p>
      <w:r>
        <w:br w:type="page"/>
      </w:r>
    </w:p>
    <w:p>
      <w:pPr>
        <w:pStyle w:val="Heading1"/>
        <w:spacing w:after="200" w:before="360"/>
      </w:pPr>
      <w:r>
        <w:rPr>
          <w:rFonts w:ascii="Arial" w:cs="Arial" w:eastAsia="Arial" w:hAnsi="Arial"/>
          <w:b/>
          <w:bCs/>
          <w:color w:val="1B2A4A"/>
          <w:sz w:val="32"/>
          <w:szCs w:val="32"/>
        </w:rPr>
        <w:t xml:space="preserve">2. DATA PIPELINE AND GRAPH TOPOLOGY</w:t>
      </w:r>
    </w:p>
    <w:p>
      <w:pPr>
        <w:pStyle w:val="Heading2"/>
        <w:spacing w:after="160" w:before="280"/>
      </w:pPr>
      <w:r>
        <w:rPr>
          <w:rFonts w:ascii="Arial" w:cs="Arial" w:eastAsia="Arial" w:hAnsi="Arial"/>
          <w:b/>
          <w:bCs/>
          <w:color w:val="2E5090"/>
          <w:sz w:val="26"/>
          <w:szCs w:val="26"/>
        </w:rPr>
        <w:t xml:space="preserve">2.1 Graph Structure</w:t>
      </w:r>
    </w:p>
    <w:p>
      <w:pPr>
        <w:spacing w:after="120"/>
      </w:pPr>
      <w:r>
        <w:rPr>
          <w:rFonts w:ascii="Arial" w:cs="Arial" w:eastAsia="Arial" w:hAnsi="Arial"/>
          <w:sz w:val="22"/>
          <w:szCs w:val="22"/>
        </w:rPr>
        <w:t xml:space="preserve">The system operates on a directed acyclic graph with 65 nodes and 69 edges, spanning four domains:</w:t>
      </w:r>
    </w:p>
    <w:p>
      <w:pPr>
        <w:spacing w:after="120"/>
      </w:pPr>
      <w:r>
        <w:rPr>
          <w:rFonts w:ascii="Arial" w:cs="Arial" w:eastAsia="Arial" w:hAnsi="Arial"/>
          <w:b/>
          <w:bCs/>
          <w:sz w:val="22"/>
          <w:szCs w:val="22"/>
        </w:rPr>
        <w:t xml:space="preserve">Saudi Aramco Energy (14 nodes): </w:t>
      </w:r>
      <w:r>
        <w:rPr>
          <w:rFonts w:ascii="Arial" w:cs="Arial" w:eastAsia="Arial" w:hAnsi="Arial"/>
          <w:sz w:val="22"/>
          <w:szCs w:val="22"/>
        </w:rPr>
        <w:t xml:space="preserve">Core assets including the East-West Pipeline, Ras Tanura Refinery and Terminal, Yanbu Refinery, Abqaiq Processing Plants, and the Master Gas System with expansion capacity. Key vulnerabilities center on linear asset exposure and coastal concentration of export terminals.</w:t>
      </w:r>
    </w:p>
    <w:p>
      <w:pPr>
        <w:spacing w:after="120"/>
      </w:pPr>
      <w:r>
        <w:rPr>
          <w:rFonts w:ascii="Arial" w:cs="Arial" w:eastAsia="Arial" w:hAnsi="Arial"/>
          <w:b/>
          <w:bCs/>
          <w:sz w:val="22"/>
          <w:szCs w:val="22"/>
        </w:rPr>
        <w:t xml:space="preserve">QatarEnergy LNG (11 nodes): </w:t>
      </w:r>
      <w:r>
        <w:rPr>
          <w:rFonts w:ascii="Arial" w:cs="Arial" w:eastAsia="Arial" w:hAnsi="Arial"/>
          <w:sz w:val="22"/>
          <w:szCs w:val="22"/>
        </w:rPr>
        <w:t xml:space="preserve">North Field gas production, Ras Laffan Industrial City and Port, 14 LNG mega-trains, North Field Expansion phases (NFE/NFS), Laffan and Umm Said Refineries, Pearl and Oryx GTL plants, Dolphin Pipeline, and Barzan Gas. Critical constraints arise from single-basin concentration and train interdependencies.</w:t>
      </w:r>
    </w:p>
    <w:p>
      <w:pPr>
        <w:spacing w:after="120"/>
      </w:pPr>
      <w:r>
        <w:rPr>
          <w:rFonts w:ascii="Arial" w:cs="Arial" w:eastAsia="Arial" w:hAnsi="Arial"/>
          <w:b/>
          <w:bCs/>
          <w:sz w:val="22"/>
          <w:szCs w:val="22"/>
        </w:rPr>
        <w:t xml:space="preserve">QAFCO Fertilizer (19 nodes): </w:t>
      </w:r>
      <w:r>
        <w:rPr>
          <w:rFonts w:ascii="Arial" w:cs="Arial" w:eastAsia="Arial" w:hAnsi="Arial"/>
          <w:sz w:val="22"/>
          <w:szCs w:val="22"/>
        </w:rPr>
        <w:t xml:space="preserve">Mesaieed ammonia and urea complex including QAFCO-7 blue ammonia facility, Qatar Melamine Company, Gulf Formaldehyde Company, customer markets (India, Brazil, Australia, USA, Bangladesh), the Strait of Hormuz chokepoint, and global food price stress node. Vulnerable to gas feedstock dependency and export route monopoly.</w:t>
      </w:r>
    </w:p>
    <w:p>
      <w:pPr>
        <w:spacing w:after="120"/>
      </w:pPr>
      <w:r>
        <w:rPr>
          <w:rFonts w:ascii="Arial" w:cs="Arial" w:eastAsia="Arial" w:hAnsi="Arial"/>
          <w:b/>
          <w:bCs/>
          <w:sz w:val="22"/>
          <w:szCs w:val="22"/>
        </w:rPr>
        <w:t xml:space="preserve">Ma’aden Phosphate (21 nodes): </w:t>
      </w:r>
      <w:r>
        <w:rPr>
          <w:rFonts w:ascii="Arial" w:cs="Arial" w:eastAsia="Arial" w:hAnsi="Arial"/>
          <w:sz w:val="22"/>
          <w:szCs w:val="22"/>
        </w:rPr>
        <w:t xml:space="preserve">Phosphate mines (Umm Wu’al, Hazm Al Jalamid), processing hubs (Wa’ad Al Shamal, Ras Al Khair), DAP plant, ammonia units, phosphoric and sulfuric acid production, North-South Railway, phosphogypsum recycling, and customer markets including Bangladesh (42% of DAP), India, Brazil, and Africa. Constrained by rail bottleneck, water and gas scarcity, and mine depletion timelines.</w:t>
      </w:r>
    </w:p>
    <w:p>
      <w:pPr>
        <w:pStyle w:val="Heading2"/>
        <w:spacing w:after="160" w:before="280"/>
      </w:pPr>
      <w:r>
        <w:rPr>
          <w:rFonts w:ascii="Arial" w:cs="Arial" w:eastAsia="Arial" w:hAnsi="Arial"/>
          <w:b/>
          <w:bCs/>
          <w:color w:val="2E5090"/>
          <w:sz w:val="26"/>
          <w:szCs w:val="26"/>
        </w:rPr>
        <w:t xml:space="preserve">2.2 Ω-Fragility Profile (5-Pillar Framework)</w:t>
      </w:r>
    </w:p>
    <w:p>
      <w:pPr>
        <w:spacing w:after="120"/>
      </w:pPr>
      <w:r>
        <w:rPr>
          <w:rFonts w:ascii="Arial" w:cs="Arial" w:eastAsia="Arial" w:hAnsi="Arial"/>
          <w:sz w:val="22"/>
          <w:szCs w:val="22"/>
        </w:rPr>
        <w:t xml:space="preserve">Each node carries a full Omega-Fragility Profile (ΩF) with five quantitative pillars scored on a 0–10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900"/>
        <w:gridCol w:w="54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Irreplaceability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Substitution difficulty — tech exclusivity, market concentration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Restoration Latency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required to restore capacity after failure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Jurisdictional Hazard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Sanctions exposure, regulatory risk, conflict zone proximity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Cascade Load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Downstream impact depth — GDP sectors, nonlinear propagation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Tail Depth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Fat-tail severity beyond standard Value-at-Risk thresholds</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The composite ΩF score is computed as the weighted sum of pillar scores. System-level aggregates include throughput-weighted fragility (ΩSF) and exposure-weighted fragility (ΩSX).</w:t>
      </w:r>
    </w:p>
    <w:p>
      <w:pPr>
        <w:pStyle w:val="Heading2"/>
        <w:spacing w:after="160" w:before="280"/>
      </w:pPr>
      <w:r>
        <w:rPr>
          <w:rFonts w:ascii="Arial" w:cs="Arial" w:eastAsia="Arial" w:hAnsi="Arial"/>
          <w:b/>
          <w:bCs/>
          <w:color w:val="2E5090"/>
          <w:sz w:val="26"/>
          <w:szCs w:val="26"/>
        </w:rPr>
        <w:t xml:space="preserve">2.3 Edge Properties</w:t>
      </w:r>
    </w:p>
    <w:p>
      <w:pPr>
        <w:spacing w:after="120"/>
      </w:pPr>
      <w:r>
        <w:rPr>
          <w:rFonts w:ascii="Arial" w:cs="Arial" w:eastAsia="Arial" w:hAnsi="Arial"/>
          <w:sz w:val="22"/>
          <w:szCs w:val="22"/>
        </w:rPr>
        <w:t xml:space="preserve">Each directed edge in the causal graph encodes:</w:t>
      </w:r>
    </w:p>
    <w:p>
      <w:pPr>
        <w:pStyle w:val="ListParagraph"/>
        <w:numPr>
          <w:ilvl w:val="0"/>
          <w:numId w:val="3"/>
        </w:numPr>
        <w:spacing w:after="60"/>
      </w:pPr>
      <w:r>
        <w:rPr>
          <w:rFonts w:ascii="Arial" w:cs="Arial" w:eastAsia="Arial" w:hAnsi="Arial"/>
          <w:b/>
          <w:bCs/>
          <w:sz w:val="22"/>
          <w:szCs w:val="22"/>
        </w:rPr>
        <w:t xml:space="preserve">Weight (0–1): </w:t>
      </w:r>
      <w:r>
        <w:rPr>
          <w:rFonts w:ascii="Arial" w:cs="Arial" w:eastAsia="Arial" w:hAnsi="Arial"/>
          <w:sz w:val="22"/>
          <w:szCs w:val="22"/>
        </w:rPr>
        <w:t xml:space="preserve">Causal strength between source and target nodes</w:t>
      </w:r>
    </w:p>
    <w:p>
      <w:pPr>
        <w:pStyle w:val="ListParagraph"/>
        <w:numPr>
          <w:ilvl w:val="0"/>
          <w:numId w:val="3"/>
        </w:numPr>
        <w:spacing w:after="60"/>
      </w:pPr>
      <w:r>
        <w:rPr>
          <w:rFonts w:ascii="Arial" w:cs="Arial" w:eastAsia="Arial" w:hAnsi="Arial"/>
          <w:b/>
          <w:bCs/>
          <w:sz w:val="22"/>
          <w:szCs w:val="22"/>
        </w:rPr>
        <w:t xml:space="preserve">Lag: </w:t>
      </w:r>
      <w:r>
        <w:rPr>
          <w:rFonts w:ascii="Arial" w:cs="Arial" w:eastAsia="Arial" w:hAnsi="Arial"/>
          <w:sz w:val="22"/>
          <w:szCs w:val="22"/>
        </w:rPr>
        <w:t xml:space="preserve">Temporal delay in epoch steps (0 = immediate propagation, &gt;0 = delayed delivery)</w:t>
      </w:r>
    </w:p>
    <w:p>
      <w:pPr>
        <w:pStyle w:val="ListParagraph"/>
        <w:numPr>
          <w:ilvl w:val="0"/>
          <w:numId w:val="3"/>
        </w:numPr>
        <w:spacing w:after="60"/>
      </w:pPr>
      <w:r>
        <w:rPr>
          <w:rFonts w:ascii="Arial" w:cs="Arial" w:eastAsia="Arial" w:hAnsi="Arial"/>
          <w:b/>
          <w:bCs/>
          <w:sz w:val="22"/>
          <w:szCs w:val="22"/>
        </w:rPr>
        <w:t xml:space="preserve">Confidence (0–1): </w:t>
      </w:r>
      <w:r>
        <w:rPr>
          <w:rFonts w:ascii="Arial" w:cs="Arial" w:eastAsia="Arial" w:hAnsi="Arial"/>
          <w:sz w:val="22"/>
          <w:szCs w:val="22"/>
        </w:rPr>
        <w:t xml:space="preserve">Discovery algorithm’s confidence in the causal link</w:t>
      </w:r>
    </w:p>
    <w:p>
      <w:pPr>
        <w:pStyle w:val="ListParagraph"/>
        <w:numPr>
          <w:ilvl w:val="0"/>
          <w:numId w:val="3"/>
        </w:numPr>
        <w:spacing w:after="60"/>
      </w:pPr>
      <w:r>
        <w:rPr>
          <w:rFonts w:ascii="Arial" w:cs="Arial" w:eastAsia="Arial" w:hAnsi="Arial"/>
          <w:b/>
          <w:bCs/>
          <w:sz w:val="22"/>
          <w:szCs w:val="22"/>
        </w:rPr>
        <w:t xml:space="preserve">Type: </w:t>
      </w:r>
      <w:r>
        <w:rPr>
          <w:rFonts w:ascii="Arial" w:cs="Arial" w:eastAsia="Arial" w:hAnsi="Arial"/>
          <w:sz w:val="22"/>
          <w:szCs w:val="22"/>
        </w:rPr>
        <w:t xml:space="preserve">"directed" (standard), "temporal" (lagged), or "confounded" (latent common cause detected by FCI)</w:t>
      </w:r>
    </w:p>
    <w:p>
      <w:pPr>
        <w:pStyle w:val="ListParagraph"/>
        <w:numPr>
          <w:ilvl w:val="0"/>
          <w:numId w:val="3"/>
        </w:numPr>
        <w:spacing w:after="60"/>
      </w:pPr>
      <w:r>
        <w:rPr>
          <w:rFonts w:ascii="Arial" w:cs="Arial" w:eastAsia="Arial" w:hAnsi="Arial"/>
          <w:b/>
          <w:bCs/>
          <w:sz w:val="22"/>
          <w:szCs w:val="22"/>
        </w:rPr>
        <w:t xml:space="preserve">Physical Mechanism: </w:t>
      </w:r>
      <w:r>
        <w:rPr>
          <w:rFonts w:ascii="Arial" w:cs="Arial" w:eastAsia="Arial" w:hAnsi="Arial"/>
          <w:sz w:val="22"/>
          <w:szCs w:val="22"/>
        </w:rPr>
        <w:t xml:space="preserve">Human-readable causal description (e.g., "powers", "constrains supply", "feeds")</w:t>
      </w:r>
    </w:p>
    <w:p>
      <w:pPr>
        <w:pStyle w:val="ListParagraph"/>
        <w:numPr>
          <w:ilvl w:val="0"/>
          <w:numId w:val="3"/>
        </w:numPr>
        <w:spacing w:after="60"/>
      </w:pPr>
      <w:r>
        <w:rPr>
          <w:rFonts w:ascii="Arial" w:cs="Arial" w:eastAsia="Arial" w:hAnsi="Arial"/>
          <w:b/>
          <w:bCs/>
          <w:sz w:val="22"/>
          <w:szCs w:val="22"/>
        </w:rPr>
        <w:t xml:space="preserve">isInconsistent: </w:t>
      </w:r>
      <w:r>
        <w:rPr>
          <w:rFonts w:ascii="Arial" w:cs="Arial" w:eastAsia="Arial" w:hAnsi="Arial"/>
          <w:sz w:val="22"/>
          <w:szCs w:val="22"/>
        </w:rPr>
        <w:t xml:space="preserve">Boolean flag set by Tarski validation when the edge violates physical axioms</w:t>
      </w:r>
    </w:p>
    <w:p>
      <w:pPr>
        <w:pStyle w:val="ListParagraph"/>
        <w:numPr>
          <w:ilvl w:val="0"/>
          <w:numId w:val="3"/>
        </w:numPr>
        <w:spacing w:after="60"/>
      </w:pPr>
      <w:r>
        <w:rPr>
          <w:rFonts w:ascii="Arial" w:cs="Arial" w:eastAsia="Arial" w:hAnsi="Arial"/>
          <w:b/>
          <w:bCs/>
          <w:sz w:val="22"/>
          <w:szCs w:val="22"/>
        </w:rPr>
        <w:t xml:space="preserve">isSevered: </w:t>
      </w:r>
      <w:r>
        <w:rPr>
          <w:rFonts w:ascii="Arial" w:cs="Arial" w:eastAsia="Arial" w:hAnsi="Arial"/>
          <w:sz w:val="22"/>
          <w:szCs w:val="22"/>
        </w:rPr>
        <w:t xml:space="preserve">Boolean flag set by Pearl intervention (do-calculus edge removal)</w:t>
      </w:r>
    </w:p>
    <w:p>
      <w:pPr>
        <w:pStyle w:val="Heading2"/>
        <w:spacing w:after="160" w:before="280"/>
      </w:pPr>
      <w:r>
        <w:rPr>
          <w:rFonts w:ascii="Arial" w:cs="Arial" w:eastAsia="Arial" w:hAnsi="Arial"/>
          <w:b/>
          <w:bCs/>
          <w:color w:val="2E5090"/>
          <w:sz w:val="26"/>
          <w:szCs w:val="26"/>
        </w:rPr>
        <w:t xml:space="preserve">2.4 Data Flow Pipeline</w:t>
      </w:r>
    </w:p>
    <w:p>
      <w:pPr>
        <w:spacing w:after="120"/>
      </w:pPr>
      <w:r>
        <w:rPr>
          <w:rFonts w:ascii="Arial" w:cs="Arial" w:eastAsia="Arial" w:hAnsi="Arial"/>
          <w:sz w:val="22"/>
          <w:szCs w:val="22"/>
        </w:rPr>
        <w:t xml:space="preserve">The system follows a linear data pipeline from static graph definition through four analytical stages:</w:t>
      </w:r>
    </w:p>
    <w:p>
      <w:pPr>
        <w:pStyle w:val="ListParagraph"/>
        <w:numPr>
          <w:ilvl w:val="0"/>
          <w:numId w:val="2"/>
        </w:numPr>
        <w:spacing w:after="80"/>
      </w:pPr>
      <w:r>
        <w:rPr>
          <w:rFonts w:ascii="Arial" w:cs="Arial" w:eastAsia="Arial" w:hAnsi="Arial"/>
          <w:sz w:val="22"/>
          <w:szCs w:val="22"/>
        </w:rPr>
        <w:t xml:space="preserve">Static graph data (graph-data.ts: 65 nodes, 69 edges) loads into the domain selector</w:t>
      </w:r>
    </w:p>
    <w:p>
      <w:pPr>
        <w:pStyle w:val="ListParagraph"/>
        <w:numPr>
          <w:ilvl w:val="0"/>
          <w:numId w:val="2"/>
        </w:numPr>
        <w:spacing w:after="80"/>
      </w:pPr>
      <w:r>
        <w:rPr>
          <w:rFonts w:ascii="Arial" w:cs="Arial" w:eastAsia="Arial" w:hAnsi="Arial"/>
          <w:sz w:val="22"/>
          <w:szCs w:val="22"/>
        </w:rPr>
        <w:t xml:space="preserve">Domain filtering populates the Zustand state store</w:t>
      </w:r>
    </w:p>
    <w:p>
      <w:pPr>
        <w:pStyle w:val="ListParagraph"/>
        <w:numPr>
          <w:ilvl w:val="0"/>
          <w:numId w:val="2"/>
        </w:numPr>
        <w:spacing w:after="80"/>
      </w:pPr>
      <w:r>
        <w:rPr>
          <w:rFonts w:ascii="Arial" w:cs="Arial" w:eastAsia="Arial" w:hAnsi="Arial"/>
          <w:sz w:val="22"/>
          <w:szCs w:val="22"/>
        </w:rPr>
        <w:t xml:space="preserve">3D layout engine (d3-force-3d) computes hierarchical node positions</w:t>
      </w:r>
    </w:p>
    <w:p>
      <w:pPr>
        <w:pStyle w:val="ListParagraph"/>
        <w:numPr>
          <w:ilvl w:val="0"/>
          <w:numId w:val="2"/>
        </w:numPr>
        <w:spacing w:after="80"/>
      </w:pPr>
      <w:r>
        <w:rPr>
          <w:rFonts w:ascii="Arial" w:cs="Arial" w:eastAsia="Arial" w:hAnsi="Arial"/>
          <w:sz w:val="22"/>
          <w:szCs w:val="22"/>
        </w:rPr>
        <w:t xml:space="preserve">Four engines process the graph: Spirtes → Tarski → Pearl → Pareto</w:t>
      </w:r>
    </w:p>
    <w:p>
      <w:pPr>
        <w:pStyle w:val="ListParagraph"/>
        <w:numPr>
          <w:ilvl w:val="0"/>
          <w:numId w:val="2"/>
        </w:numPr>
        <w:spacing w:after="80"/>
      </w:pPr>
      <w:r>
        <w:rPr>
          <w:rFonts w:ascii="Arial" w:cs="Arial" w:eastAsia="Arial" w:hAnsi="Arial"/>
          <w:sz w:val="22"/>
          <w:szCs w:val="22"/>
        </w:rPr>
        <w:t xml:space="preserve">Cascade simulator generates up to 200 epoch snapshots per scenario</w:t>
      </w:r>
    </w:p>
    <w:p>
      <w:pPr>
        <w:pStyle w:val="ListParagraph"/>
        <w:numPr>
          <w:ilvl w:val="0"/>
          <w:numId w:val="2"/>
        </w:numPr>
        <w:spacing w:after="120"/>
      </w:pPr>
      <w:r>
        <w:rPr>
          <w:rFonts w:ascii="Arial" w:cs="Arial" w:eastAsia="Arial" w:hAnsi="Arial"/>
          <w:sz w:val="22"/>
          <w:szCs w:val="22"/>
        </w:rPr>
        <w:t xml:space="preserve">Copilot provides natural language interaction with deterministic action routing</w:t>
      </w:r>
    </w:p>
    <w:p>
      <w:r>
        <w:br w:type="page"/>
      </w:r>
    </w:p>
    <w:p>
      <w:pPr>
        <w:pStyle w:val="Heading1"/>
        <w:spacing w:after="200" w:before="360"/>
      </w:pPr>
      <w:r>
        <w:rPr>
          <w:rFonts w:ascii="Arial" w:cs="Arial" w:eastAsia="Arial" w:hAnsi="Arial"/>
          <w:b/>
          <w:bCs/>
          <w:color w:val="1B2A4A"/>
          <w:sz w:val="32"/>
          <w:szCs w:val="32"/>
        </w:rPr>
        <w:t xml:space="preserve">3. THE FOUR ENGINES</w:t>
      </w:r>
    </w:p>
    <w:p>
      <w:pPr>
        <w:pStyle w:val="Heading2"/>
        <w:spacing w:after="160" w:before="280"/>
      </w:pPr>
      <w:r>
        <w:rPr>
          <w:rFonts w:ascii="Arial" w:cs="Arial" w:eastAsia="Arial" w:hAnsi="Arial"/>
          <w:b/>
          <w:bCs/>
          <w:color w:val="2E5090"/>
          <w:sz w:val="26"/>
          <w:szCs w:val="26"/>
        </w:rPr>
        <w:t xml:space="preserve">3.1 Engine Pipeline Overview</w:t>
      </w:r>
    </w:p>
    <w:p>
      <w:pPr>
        <w:spacing w:after="120"/>
      </w:pPr>
      <w:r>
        <w:rPr>
          <w:rFonts w:ascii="Arial" w:cs="Arial" w:eastAsia="Arial" w:hAnsi="Arial"/>
          <w:sz w:val="22"/>
          <w:szCs w:val="22"/>
        </w:rPr>
        <w:t xml:space="preserve">The four engines are named after foundational figures in causal inference and mathematical logic:</w:t>
      </w:r>
    </w:p>
    <w:p>
      <w:pPr>
        <w:pStyle w:val="ListParagraph"/>
        <w:numPr>
          <w:ilvl w:val="0"/>
          <w:numId w:val="3"/>
        </w:numPr>
        <w:spacing w:after="60"/>
      </w:pPr>
      <w:r>
        <w:rPr>
          <w:rFonts w:ascii="Arial" w:cs="Arial" w:eastAsia="Arial" w:hAnsi="Arial"/>
          <w:b/>
          <w:bCs/>
          <w:sz w:val="22"/>
          <w:szCs w:val="22"/>
        </w:rPr>
        <w:t xml:space="preserve">Spirtes: </w:t>
      </w:r>
      <w:r>
        <w:rPr>
          <w:rFonts w:ascii="Arial" w:cs="Arial" w:eastAsia="Arial" w:hAnsi="Arial"/>
          <w:sz w:val="22"/>
          <w:szCs w:val="22"/>
        </w:rPr>
        <w:t xml:space="preserve">Named after Peter Spirtes (CMU), pioneer of constraint-based causal discovery algorithms including PC and FCI.</w:t>
      </w:r>
    </w:p>
    <w:p>
      <w:pPr>
        <w:pStyle w:val="ListParagraph"/>
        <w:numPr>
          <w:ilvl w:val="0"/>
          <w:numId w:val="3"/>
        </w:numPr>
        <w:spacing w:after="60"/>
      </w:pPr>
      <w:r>
        <w:rPr>
          <w:rFonts w:ascii="Arial" w:cs="Arial" w:eastAsia="Arial" w:hAnsi="Arial"/>
          <w:b/>
          <w:bCs/>
          <w:sz w:val="22"/>
          <w:szCs w:val="22"/>
        </w:rPr>
        <w:t xml:space="preserve">Tarski: </w:t>
      </w:r>
      <w:r>
        <w:rPr>
          <w:rFonts w:ascii="Arial" w:cs="Arial" w:eastAsia="Arial" w:hAnsi="Arial"/>
          <w:sz w:val="22"/>
          <w:szCs w:val="22"/>
        </w:rPr>
        <w:t xml:space="preserve">Named after Alfred Tarski, whose model-theoretic semantics and truth definitions provide the formal foundation for axiom-based validation.</w:t>
      </w:r>
    </w:p>
    <w:p>
      <w:pPr>
        <w:pStyle w:val="ListParagraph"/>
        <w:numPr>
          <w:ilvl w:val="0"/>
          <w:numId w:val="3"/>
        </w:numPr>
        <w:spacing w:after="60"/>
      </w:pPr>
      <w:r>
        <w:rPr>
          <w:rFonts w:ascii="Arial" w:cs="Arial" w:eastAsia="Arial" w:hAnsi="Arial"/>
          <w:b/>
          <w:bCs/>
          <w:sz w:val="22"/>
          <w:szCs w:val="22"/>
        </w:rPr>
        <w:t xml:space="preserve">Pearl: </w:t>
      </w:r>
      <w:r>
        <w:rPr>
          <w:rFonts w:ascii="Arial" w:cs="Arial" w:eastAsia="Arial" w:hAnsi="Arial"/>
          <w:sz w:val="22"/>
          <w:szCs w:val="22"/>
        </w:rPr>
        <w:t xml:space="preserve">Named after Judea Pearl (UCLA), creator of do-calculus and the structural causal model (SCM) framework for interventional reasoning.</w:t>
      </w:r>
    </w:p>
    <w:p>
      <w:pPr>
        <w:pStyle w:val="ListParagraph"/>
        <w:numPr>
          <w:ilvl w:val="0"/>
          <w:numId w:val="3"/>
        </w:numPr>
        <w:spacing w:after="60"/>
      </w:pPr>
      <w:r>
        <w:rPr>
          <w:rFonts w:ascii="Arial" w:cs="Arial" w:eastAsia="Arial" w:hAnsi="Arial"/>
          <w:b/>
          <w:bCs/>
          <w:sz w:val="22"/>
          <w:szCs w:val="22"/>
        </w:rPr>
        <w:t xml:space="preserve">Pareto: </w:t>
      </w:r>
      <w:r>
        <w:rPr>
          <w:rFonts w:ascii="Arial" w:cs="Arial" w:eastAsia="Arial" w:hAnsi="Arial"/>
          <w:sz w:val="22"/>
          <w:szCs w:val="22"/>
        </w:rPr>
        <w:t xml:space="preserve">Named after Vilfredo Pareto, whose optimality concept underpins the multi-objective defense optimization strategy.</w:t>
      </w:r>
    </w:p>
    <w:p>
      <w:pPr>
        <w:spacing w:after="120"/>
      </w:pPr>
      <w:r>
        <w:rPr>
          <w:rFonts w:ascii="Arial" w:cs="Arial" w:eastAsia="Arial" w:hAnsi="Arial"/>
          <w:sz w:val="22"/>
          <w:szCs w:val="22"/>
        </w:rPr>
        <w:t xml:space="preserve">Each engine reads from and writes to the shared Zustand store, allowing downstream engines to operate on upstream outputs. The truth filter toggle (Raw vs. Verified) allows analysts to compare engine outputs with and without Tarski constraints.</w:t>
      </w:r>
    </w:p>
    <w:p>
      <w:pPr>
        <w:pStyle w:val="Heading2"/>
        <w:spacing w:after="160" w:before="280"/>
      </w:pPr>
      <w:r>
        <w:rPr>
          <w:rFonts w:ascii="Arial" w:cs="Arial" w:eastAsia="Arial" w:hAnsi="Arial"/>
          <w:b/>
          <w:bCs/>
          <w:color w:val="2E5090"/>
          <w:sz w:val="26"/>
          <w:szCs w:val="26"/>
        </w:rPr>
        <w:t xml:space="preserve">3.2 Spirtes Engine — Structure Discovery</w:t>
      </w:r>
    </w:p>
    <w:p>
      <w:pPr>
        <w:spacing w:after="120"/>
      </w:pPr>
      <w:r>
        <w:rPr>
          <w:rFonts w:ascii="Arial" w:cs="Arial" w:eastAsia="Arial" w:hAnsi="Arial"/>
          <w:sz w:val="22"/>
          <w:szCs w:val="22"/>
        </w:rPr>
        <w:t xml:space="preserve">Discovers causal structure using three complementary algorithms running in parallel:</w:t>
      </w:r>
    </w:p>
    <w:p>
      <w:pPr>
        <w:pStyle w:val="ListParagraph"/>
        <w:numPr>
          <w:ilvl w:val="0"/>
          <w:numId w:val="3"/>
        </w:numPr>
        <w:spacing w:after="60"/>
      </w:pPr>
      <w:r>
        <w:rPr>
          <w:rFonts w:ascii="Arial" w:cs="Arial" w:eastAsia="Arial" w:hAnsi="Arial"/>
          <w:b/>
          <w:bCs/>
          <w:sz w:val="22"/>
          <w:szCs w:val="22"/>
        </w:rPr>
        <w:t xml:space="preserve">DCD (Directed Causal Discovery): </w:t>
      </w:r>
      <w:r>
        <w:rPr>
          <w:rFonts w:ascii="Arial" w:cs="Arial" w:eastAsia="Arial" w:hAnsi="Arial"/>
          <w:sz w:val="22"/>
          <w:szCs w:val="22"/>
        </w:rPr>
        <w:t xml:space="preserve">NOTEARS-based constraint optimization that discovers the primary directed acyclic structure. Identifies ~64 edges with causal direction and confidence scores. No temporal lag awareness.</w:t>
      </w:r>
    </w:p>
    <w:p>
      <w:pPr>
        <w:pStyle w:val="ListParagraph"/>
        <w:numPr>
          <w:ilvl w:val="0"/>
          <w:numId w:val="3"/>
        </w:numPr>
        <w:spacing w:after="60"/>
      </w:pPr>
      <w:r>
        <w:rPr>
          <w:rFonts w:ascii="Arial" w:cs="Arial" w:eastAsia="Arial" w:hAnsi="Arial"/>
          <w:b/>
          <w:bCs/>
          <w:sz w:val="22"/>
          <w:szCs w:val="22"/>
        </w:rPr>
        <w:t xml:space="preserve">PCMCI+ (Temporal Causal Discovery): </w:t>
      </w:r>
      <w:r>
        <w:rPr>
          <w:rFonts w:ascii="Arial" w:cs="Arial" w:eastAsia="Arial" w:hAnsi="Arial"/>
          <w:sz w:val="22"/>
          <w:szCs w:val="22"/>
        </w:rPr>
        <w:t xml:space="preserve">Identifies edges with temporal lag &gt; 0. Discovers time-lagged dependencies critical for cascade propagation timing. Outputs edges of type "temporal".</w:t>
      </w:r>
    </w:p>
    <w:p>
      <w:pPr>
        <w:pStyle w:val="ListParagraph"/>
        <w:numPr>
          <w:ilvl w:val="0"/>
          <w:numId w:val="3"/>
        </w:numPr>
        <w:spacing w:after="60"/>
      </w:pPr>
      <w:r>
        <w:rPr>
          <w:rFonts w:ascii="Arial" w:cs="Arial" w:eastAsia="Arial" w:hAnsi="Arial"/>
          <w:b/>
          <w:bCs/>
          <w:sz w:val="22"/>
          <w:szCs w:val="22"/>
        </w:rPr>
        <w:t xml:space="preserve">FCI (Fast Causal Inference): </w:t>
      </w:r>
      <w:r>
        <w:rPr>
          <w:rFonts w:ascii="Arial" w:cs="Arial" w:eastAsia="Arial" w:hAnsi="Arial"/>
          <w:sz w:val="22"/>
          <w:szCs w:val="22"/>
        </w:rPr>
        <w:t xml:space="preserve">Detects latent confounding — bidirectional edges indicating hidden common causes. Marks affected nodes as isConfounded. Outputs edges of type "confounded".</w:t>
      </w:r>
    </w:p>
    <w:p>
      <w:pPr>
        <w:spacing w:after="120"/>
      </w:pPr>
      <w:r>
        <w:rPr>
          <w:rFonts w:ascii="Arial" w:cs="Arial" w:eastAsia="Arial" w:hAnsi="Arial"/>
          <w:sz w:val="22"/>
          <w:szCs w:val="22"/>
        </w:rPr>
        <w:t xml:space="preserve">The three sub-modules are rendered side-by-side in the TrinityPanel, with interactive cross-filtering between algorithm outputs. See the Spirtes Engine Deep-Dive document for complete algorithmic details.</w:t>
      </w:r>
    </w:p>
    <w:p>
      <w:pPr>
        <w:pStyle w:val="Heading2"/>
        <w:spacing w:after="160" w:before="280"/>
      </w:pPr>
      <w:r>
        <w:rPr>
          <w:rFonts w:ascii="Arial" w:cs="Arial" w:eastAsia="Arial" w:hAnsi="Arial"/>
          <w:b/>
          <w:bCs/>
          <w:color w:val="2E5090"/>
          <w:sz w:val="26"/>
          <w:szCs w:val="26"/>
        </w:rPr>
        <w:t xml:space="preserve">3.3 Tarski Engine — Truth Verification</w:t>
      </w:r>
    </w:p>
    <w:p>
      <w:pPr>
        <w:spacing w:after="120"/>
      </w:pPr>
      <w:r>
        <w:rPr>
          <w:rFonts w:ascii="Arial" w:cs="Arial" w:eastAsia="Arial" w:hAnsi="Arial"/>
          <w:sz w:val="22"/>
          <w:szCs w:val="22"/>
        </w:rPr>
        <w:t xml:space="preserve">Validates the discovered causal structure against a library of 9 axioms organized in three tiers:</w:t>
      </w:r>
    </w:p>
    <w:p>
      <w:pPr>
        <w:pStyle w:val="ListParagraph"/>
        <w:numPr>
          <w:ilvl w:val="0"/>
          <w:numId w:val="3"/>
        </w:numPr>
        <w:spacing w:after="60"/>
      </w:pPr>
      <w:r>
        <w:rPr>
          <w:rFonts w:ascii="Arial" w:cs="Arial" w:eastAsia="Arial" w:hAnsi="Arial"/>
          <w:b/>
          <w:bCs/>
          <w:sz w:val="22"/>
          <w:szCs w:val="22"/>
        </w:rPr>
        <w:t xml:space="preserve">Level 0 — Physical Laws (5 axioms): </w:t>
      </w:r>
      <w:r>
        <w:rPr>
          <w:rFonts w:ascii="Arial" w:cs="Arial" w:eastAsia="Arial" w:hAnsi="Arial"/>
          <w:sz w:val="22"/>
          <w:szCs w:val="22"/>
        </w:rPr>
        <w:t xml:space="preserve">Immutable constraints including temporal priority (no backward causality), flow conservation, DAG integrity (no cycles without lag), chokepoint throughput limits, and single-source fragility detection.</w:t>
      </w:r>
    </w:p>
    <w:p>
      <w:pPr>
        <w:pStyle w:val="ListParagraph"/>
        <w:numPr>
          <w:ilvl w:val="0"/>
          <w:numId w:val="3"/>
        </w:numPr>
        <w:spacing w:after="60"/>
      </w:pPr>
      <w:r>
        <w:rPr>
          <w:rFonts w:ascii="Arial" w:cs="Arial" w:eastAsia="Arial" w:hAnsi="Arial"/>
          <w:b/>
          <w:bCs/>
          <w:sz w:val="22"/>
          <w:szCs w:val="22"/>
        </w:rPr>
        <w:t xml:space="preserve">Level 1 — Regulatory Constraints (4 axioms): </w:t>
      </w:r>
      <w:r>
        <w:rPr>
          <w:rFonts w:ascii="Arial" w:cs="Arial" w:eastAsia="Arial" w:hAnsi="Arial"/>
          <w:sz w:val="22"/>
          <w:szCs w:val="22"/>
        </w:rPr>
        <w:t xml:space="preserve">Red-alert checks including jurisdictional concentration, force majeure exposure, export route monopoly, and cross-domain dependency with low confidence.</w:t>
      </w:r>
    </w:p>
    <w:p>
      <w:pPr>
        <w:pStyle w:val="ListParagraph"/>
        <w:numPr>
          <w:ilvl w:val="0"/>
          <w:numId w:val="3"/>
        </w:numPr>
        <w:spacing w:after="60"/>
      </w:pPr>
      <w:r>
        <w:rPr>
          <w:rFonts w:ascii="Arial" w:cs="Arial" w:eastAsia="Arial" w:hAnsi="Arial"/>
          <w:b/>
          <w:bCs/>
          <w:sz w:val="22"/>
          <w:szCs w:val="22"/>
        </w:rPr>
        <w:t xml:space="preserve">Level 2 — Heuristic Checks: </w:t>
      </w:r>
      <w:r>
        <w:rPr>
          <w:rFonts w:ascii="Arial" w:cs="Arial" w:eastAsia="Arial" w:hAnsi="Arial"/>
          <w:sz w:val="22"/>
          <w:szCs w:val="22"/>
        </w:rPr>
        <w:t xml:space="preserve">Anomaly detection including capacity saturation (ΩF &gt; 9.0) and cascade amplification (C ≥ 9 with OutDegree ≥ 3).</w:t>
      </w:r>
    </w:p>
    <w:p>
      <w:pPr>
        <w:spacing w:after="120"/>
      </w:pPr>
      <w:r>
        <w:rPr>
          <w:rFonts w:ascii="Arial" w:cs="Arial" w:eastAsia="Arial" w:hAnsi="Arial"/>
          <w:sz w:val="22"/>
          <w:szCs w:val="22"/>
        </w:rPr>
        <w:t xml:space="preserve">See the Tarski Engine Deep-Dive document for the complete axiom library and formal specifications.</w:t>
      </w:r>
    </w:p>
    <w:p>
      <w:pPr>
        <w:pStyle w:val="Heading2"/>
        <w:spacing w:after="160" w:before="280"/>
      </w:pPr>
      <w:r>
        <w:rPr>
          <w:rFonts w:ascii="Arial" w:cs="Arial" w:eastAsia="Arial" w:hAnsi="Arial"/>
          <w:b/>
          <w:bCs/>
          <w:color w:val="2E5090"/>
          <w:sz w:val="26"/>
          <w:szCs w:val="26"/>
        </w:rPr>
        <w:t xml:space="preserve">3.4 Pearl Engine — Structural Intervention</w:t>
      </w:r>
    </w:p>
    <w:p>
      <w:pPr>
        <w:spacing w:after="120"/>
      </w:pPr>
      <w:r>
        <w:rPr>
          <w:rFonts w:ascii="Arial" w:cs="Arial" w:eastAsia="Arial" w:hAnsi="Arial"/>
          <w:sz w:val="22"/>
          <w:szCs w:val="22"/>
        </w:rPr>
        <w:t xml:space="preserve">Enables do-calculus interventions on the validated graph:</w:t>
      </w:r>
    </w:p>
    <w:p>
      <w:pPr>
        <w:pStyle w:val="ListParagraph"/>
        <w:numPr>
          <w:ilvl w:val="0"/>
          <w:numId w:val="3"/>
        </w:numPr>
        <w:spacing w:after="60"/>
      </w:pPr>
      <w:r>
        <w:rPr>
          <w:rFonts w:ascii="Arial" w:cs="Arial" w:eastAsia="Arial" w:hAnsi="Arial"/>
          <w:b/>
          <w:bCs/>
          <w:sz w:val="22"/>
          <w:szCs w:val="22"/>
        </w:rPr>
        <w:t xml:space="preserve">Scissors Tool: </w:t>
      </w:r>
      <w:r>
        <w:rPr>
          <w:rFonts w:ascii="Arial" w:cs="Arial" w:eastAsia="Arial" w:hAnsi="Arial"/>
          <w:sz w:val="22"/>
          <w:szCs w:val="22"/>
        </w:rPr>
        <w:t xml:space="preserve">Edge severance via do(X) operation. Cutting an edge marks it isSevered and spawns domain-specific consequence nodes (e.g., severing a Hormuz edge spawns "Shipping Disruption" and "Insurance Premium Spike" nodes).</w:t>
      </w:r>
    </w:p>
    <w:p>
      <w:pPr>
        <w:pStyle w:val="ListParagraph"/>
        <w:numPr>
          <w:ilvl w:val="0"/>
          <w:numId w:val="3"/>
        </w:numPr>
        <w:spacing w:after="60"/>
      </w:pPr>
      <w:r>
        <w:rPr>
          <w:rFonts w:ascii="Arial" w:cs="Arial" w:eastAsia="Arial" w:hAnsi="Arial"/>
          <w:b/>
          <w:bCs/>
          <w:sz w:val="22"/>
          <w:szCs w:val="22"/>
        </w:rPr>
        <w:t xml:space="preserve">Consequence Modeling: </w:t>
      </w:r>
      <w:r>
        <w:rPr>
          <w:rFonts w:ascii="Arial" w:cs="Arial" w:eastAsia="Arial" w:hAnsi="Arial"/>
          <w:sz w:val="22"/>
          <w:szCs w:val="22"/>
        </w:rPr>
        <w:t xml:space="preserve">Each severed edge generates 2 consequence nodes per domain template, with pre-calibrated ΩF profiles. Consequence edges connect to the original target node with computed weights.</w:t>
      </w:r>
    </w:p>
    <w:p>
      <w:pPr>
        <w:pStyle w:val="ListParagraph"/>
        <w:numPr>
          <w:ilvl w:val="0"/>
          <w:numId w:val="3"/>
        </w:numPr>
        <w:spacing w:after="60"/>
      </w:pPr>
      <w:r>
        <w:rPr>
          <w:rFonts w:ascii="Arial" w:cs="Arial" w:eastAsia="Arial" w:hAnsi="Arial"/>
          <w:b/>
          <w:bCs/>
          <w:sz w:val="22"/>
          <w:szCs w:val="22"/>
        </w:rPr>
        <w:t xml:space="preserve">Counterfactual Analysis: </w:t>
      </w:r>
      <w:r>
        <w:rPr>
          <w:rFonts w:ascii="Arial" w:cs="Arial" w:eastAsia="Arial" w:hAnsi="Arial"/>
          <w:sz w:val="22"/>
          <w:szCs w:val="22"/>
        </w:rPr>
        <w:t xml:space="preserve">Ablation mode removes selected nodes or edges, then replays the cascade simulation to compare baseline vs. intervention timelines.</w:t>
      </w:r>
    </w:p>
    <w:p>
      <w:pPr>
        <w:pStyle w:val="ListParagraph"/>
        <w:numPr>
          <w:ilvl w:val="0"/>
          <w:numId w:val="3"/>
        </w:numPr>
        <w:spacing w:after="60"/>
      </w:pPr>
      <w:r>
        <w:rPr>
          <w:rFonts w:ascii="Arial" w:cs="Arial" w:eastAsia="Arial" w:hAnsi="Arial"/>
          <w:b/>
          <w:bCs/>
          <w:sz w:val="22"/>
          <w:szCs w:val="22"/>
        </w:rPr>
        <w:t xml:space="preserve">Multi-Selection: </w:t>
      </w:r>
      <w:r>
        <w:rPr>
          <w:rFonts w:ascii="Arial" w:cs="Arial" w:eastAsia="Arial" w:hAnsi="Arial"/>
          <w:sz w:val="22"/>
          <w:szCs w:val="22"/>
        </w:rPr>
        <w:t xml:space="preserve">Lasso tool enables batch selection of nodes for simultaneous ablation experiments.</w:t>
      </w:r>
    </w:p>
    <w:p>
      <w:pPr>
        <w:pStyle w:val="Heading2"/>
        <w:spacing w:after="160" w:before="280"/>
      </w:pPr>
      <w:r>
        <w:rPr>
          <w:rFonts w:ascii="Arial" w:cs="Arial" w:eastAsia="Arial" w:hAnsi="Arial"/>
          <w:b/>
          <w:bCs/>
          <w:color w:val="2E5090"/>
          <w:sz w:val="26"/>
          <w:szCs w:val="26"/>
        </w:rPr>
        <w:t xml:space="preserve">3.5 Pareto Engine — Stress Testing &amp; Optimization</w:t>
      </w:r>
    </w:p>
    <w:p>
      <w:pPr>
        <w:spacing w:after="120"/>
      </w:pPr>
      <w:r>
        <w:rPr>
          <w:rFonts w:ascii="Arial" w:cs="Arial" w:eastAsia="Arial" w:hAnsi="Arial"/>
          <w:sz w:val="22"/>
          <w:szCs w:val="22"/>
        </w:rPr>
        <w:t xml:space="preserve">Stress-tests the graph against preset shock scenarios and optimizes defensive interventions:</w:t>
      </w:r>
    </w:p>
    <w:p>
      <w:pPr>
        <w:spacing w:after="120"/>
      </w:pPr>
      <w:r>
        <w:rPr>
          <w:rFonts w:ascii="Arial" w:cs="Arial" w:eastAsia="Arial" w:hAnsi="Arial"/>
          <w:sz w:val="22"/>
          <w:szCs w:val="22"/>
        </w:rPr>
        <w:t xml:space="preserve">Seven calibrated shock scenarios are available, ranging from the Strait of Hormuz Closure (severity 0.50) to Phosphate Ore Contamination (severity 0.25). Each scenario includes a physical constraint description grounding the severity calibration.</w:t>
      </w:r>
    </w:p>
    <w:p>
      <w:pPr>
        <w:spacing w:after="120"/>
      </w:pPr>
      <w:r>
        <w:rPr>
          <w:rFonts w:ascii="Arial" w:cs="Arial" w:eastAsia="Arial" w:hAnsi="Arial"/>
          <w:sz w:val="22"/>
          <w:szCs w:val="22"/>
        </w:rPr>
        <w:t xml:space="preserve">The interdiction optimizer uses a greedy minimax algorithm to identify optimal defensive interventions within a budget constraint (default: 3 interventions). Damage scoring weights: peak mean intensity (40%), minimum buffer (40%), criticality breach (20%).</w:t>
      </w:r>
    </w:p>
    <w:p>
      <w:r>
        <w:br w:type="page"/>
      </w:r>
    </w:p>
    <w:p>
      <w:pPr>
        <w:pStyle w:val="Heading1"/>
        <w:spacing w:after="200" w:before="360"/>
      </w:pPr>
      <w:r>
        <w:rPr>
          <w:rFonts w:ascii="Arial" w:cs="Arial" w:eastAsia="Arial" w:hAnsi="Arial"/>
          <w:b/>
          <w:bCs/>
          <w:color w:val="1B2A4A"/>
          <w:sz w:val="32"/>
          <w:szCs w:val="32"/>
        </w:rPr>
        <w:t xml:space="preserve">4. CASCADE SIMULATION ENGINE</w:t>
      </w:r>
    </w:p>
    <w:p>
      <w:pPr>
        <w:pStyle w:val="Heading2"/>
        <w:spacing w:after="160" w:before="280"/>
      </w:pPr>
      <w:r>
        <w:rPr>
          <w:rFonts w:ascii="Arial" w:cs="Arial" w:eastAsia="Arial" w:hAnsi="Arial"/>
          <w:b/>
          <w:bCs/>
          <w:color w:val="2E5090"/>
          <w:sz w:val="26"/>
          <w:szCs w:val="26"/>
        </w:rPr>
        <w:t xml:space="preserve">4.1 Configuration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4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maxEpochs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simulation steps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dampingFactor</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0.85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Signal attenuation per hop through the graph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forgettingRate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Shock intensity decay per epoch (memory loss)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stabilityThreshold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0.001</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Convergence criterion for early termination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criticalBufferThreshold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Ω buffer level triggering OMEGA_BREACH</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omegaShockScale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Fragility score amplification factor under stress</w:t>
            </w:r>
          </w:p>
        </w:tc>
      </w:tr>
    </w:tbl>
    <w:p>
      <w:pPr>
        <w:pStyle w:val="Heading2"/>
        <w:spacing w:after="160" w:before="280"/>
      </w:pPr>
      <w:r>
        <w:rPr>
          <w:rFonts w:ascii="Arial" w:cs="Arial" w:eastAsia="Arial" w:hAnsi="Arial"/>
          <w:b/>
          <w:bCs/>
          <w:color w:val="2E5090"/>
          <w:sz w:val="26"/>
          <w:szCs w:val="26"/>
        </w:rPr>
        <w:t xml:space="preserve">4.2 Simulation Algorithm</w:t>
      </w:r>
    </w:p>
    <w:p>
      <w:pPr>
        <w:pStyle w:val="Heading3"/>
        <w:spacing w:after="120" w:before="200"/>
      </w:pPr>
      <w:r>
        <w:rPr>
          <w:rFonts w:ascii="Arial" w:cs="Arial" w:eastAsia="Arial" w:hAnsi="Arial"/>
          <w:b/>
          <w:bCs/>
          <w:color w:val="3A6DB5"/>
          <w:sz w:val="22"/>
          <w:szCs w:val="22"/>
        </w:rPr>
        <w:t xml:space="preserve">Epoch 0 — Shock Injection</w:t>
      </w:r>
    </w:p>
    <w:p>
      <w:pPr>
        <w:spacing w:after="120"/>
      </w:pPr>
      <w:r>
        <w:rPr>
          <w:rFonts w:ascii="Arial" w:cs="Arial" w:eastAsia="Arial" w:hAnsi="Arial"/>
          <w:sz w:val="22"/>
          <w:szCs w:val="22"/>
        </w:rPr>
        <w:t xml:space="preserve">Shocks are mapped to nodes via category matching (e.g., energy shocks target energy and infrastructure nodes). Per-node intensity equals total shock severity divided by the count of matching nodes, capped at 1.0 per node.</w:t>
      </w:r>
    </w:p>
    <w:p>
      <w:pPr>
        <w:pStyle w:val="Heading3"/>
        <w:spacing w:after="120" w:before="200"/>
      </w:pPr>
      <w:r>
        <w:rPr>
          <w:rFonts w:ascii="Arial" w:cs="Arial" w:eastAsia="Arial" w:hAnsi="Arial"/>
          <w:b/>
          <w:bCs/>
          <w:color w:val="3A6DB5"/>
          <w:sz w:val="22"/>
          <w:szCs w:val="22"/>
        </w:rPr>
        <w:t xml:space="preserve">Epoch t — Signal Propagation</w:t>
      </w:r>
    </w:p>
    <w:p>
      <w:pPr>
        <w:spacing w:after="120"/>
      </w:pPr>
      <w:r>
        <w:rPr>
          <w:rFonts w:ascii="Arial" w:cs="Arial" w:eastAsia="Arial" w:hAnsi="Arial"/>
          <w:sz w:val="22"/>
          <w:szCs w:val="22"/>
        </w:rPr>
        <w:t xml:space="preserve">For each activated node (shock intensity &gt; 0.0001), outbound signals are computed:</w:t>
      </w:r>
    </w:p>
    <w:p>
      <w:pPr>
        <w:spacing w:after="80"/>
        <w:ind w:left="360"/>
      </w:pPr>
      <w:r>
        <w:rPr>
          <w:rFonts w:ascii="Courier New" w:cs="Courier New" w:eastAsia="Courier New" w:hAnsi="Courier New"/>
          <w:color w:val="333333"/>
          <w:sz w:val="18"/>
          <w:szCs w:val="18"/>
        </w:rPr>
        <w:t xml:space="preserve">signal = shockIntensity × edgeWeight × dampingFactor</w:t>
      </w:r>
    </w:p>
    <w:p>
      <w:pPr>
        <w:spacing w:after="120"/>
      </w:pPr>
      <w:r>
        <w:rPr>
          <w:rFonts w:ascii="Arial" w:cs="Arial" w:eastAsia="Arial" w:hAnsi="Arial"/>
          <w:sz w:val="22"/>
          <w:szCs w:val="22"/>
        </w:rPr>
        <w:t xml:space="preserve">Zero-lag edges deliver signals immediately to target nodes. Edges with lag &gt; 0 buffer signals for delivery at epoch + lag, modeling real-world delay mechanisms (e.g., pipeline transit time, procurement cycles).</w:t>
      </w:r>
    </w:p>
    <w:p>
      <w:pPr>
        <w:pStyle w:val="Heading3"/>
        <w:spacing w:after="120" w:before="200"/>
      </w:pPr>
      <w:r>
        <w:rPr>
          <w:rFonts w:ascii="Arial" w:cs="Arial" w:eastAsia="Arial" w:hAnsi="Arial"/>
          <w:b/>
          <w:bCs/>
          <w:color w:val="3A6DB5"/>
          <w:sz w:val="22"/>
          <w:szCs w:val="22"/>
        </w:rPr>
        <w:t xml:space="preserve">Node State Update</w:t>
      </w:r>
    </w:p>
    <w:p>
      <w:pPr>
        <w:spacing w:after="120"/>
      </w:pPr>
      <w:r>
        <w:rPr>
          <w:rFonts w:ascii="Arial" w:cs="Arial" w:eastAsia="Arial" w:hAnsi="Arial"/>
          <w:sz w:val="22"/>
          <w:szCs w:val="22"/>
        </w:rPr>
        <w:t xml:space="preserve">Each node’s shock intensity is updated per epoch:</w:t>
      </w:r>
    </w:p>
    <w:p>
      <w:pPr>
        <w:spacing w:after="80"/>
        <w:ind w:left="360"/>
      </w:pPr>
      <w:r>
        <w:rPr>
          <w:rFonts w:ascii="Courier New" w:cs="Courier New" w:eastAsia="Courier New" w:hAnsi="Courier New"/>
          <w:color w:val="333333"/>
          <w:sz w:val="18"/>
          <w:szCs w:val="18"/>
        </w:rPr>
        <w:t xml:space="preserve">newIntensity = min(1.0, incomingSignal + previousIntensity × (1 − forgettingRate))</w:t>
      </w:r>
    </w:p>
    <w:p>
      <w:pPr>
        <w:spacing w:after="120"/>
      </w:pPr>
      <w:r>
        <w:rPr>
          <w:rFonts w:ascii="Arial" w:cs="Arial" w:eastAsia="Arial" w:hAnsi="Arial"/>
          <w:sz w:val="22"/>
          <w:szCs w:val="22"/>
        </w:rPr>
        <w:t xml:space="preserve">The Ω-Fragility composite score scales proportionally under stress:</w:t>
      </w:r>
    </w:p>
    <w:p>
      <w:pPr>
        <w:spacing w:after="80"/>
        <w:ind w:left="360"/>
      </w:pPr>
      <w:r>
        <w:rPr>
          <w:rFonts w:ascii="Courier New" w:cs="Courier New" w:eastAsia="Courier New" w:hAnsi="Courier New"/>
          <w:color w:val="333333"/>
          <w:sz w:val="18"/>
          <w:szCs w:val="18"/>
        </w:rPr>
        <w:t xml:space="preserve">Ωcomposite = baseProfile × (1 + shockIntensity × omegaShockScale)</w:t>
      </w:r>
    </w:p>
    <w:p>
      <w:pPr>
        <w:pStyle w:val="Heading3"/>
        <w:spacing w:after="120" w:before="200"/>
      </w:pPr>
      <w:r>
        <w:rPr>
          <w:rFonts w:ascii="Arial" w:cs="Arial" w:eastAsia="Arial" w:hAnsi="Arial"/>
          <w:b/>
          <w:bCs/>
          <w:color w:val="3A6DB5"/>
          <w:sz w:val="22"/>
          <w:szCs w:val="22"/>
        </w:rPr>
        <w:t xml:space="preserve">System Buffer &amp; Status</w:t>
      </w:r>
    </w:p>
    <w:p>
      <w:pPr>
        <w:spacing w:after="120"/>
      </w:pPr>
      <w:r>
        <w:rPr>
          <w:rFonts w:ascii="Arial" w:cs="Arial" w:eastAsia="Arial" w:hAnsi="Arial"/>
          <w:sz w:val="22"/>
          <w:szCs w:val="22"/>
        </w:rPr>
        <w:t xml:space="preserve">The system-wide Ω buffer (0–100) tracks aggregate criticality:</w:t>
      </w:r>
    </w:p>
    <w:p>
      <w:pPr>
        <w:spacing w:after="80"/>
        <w:ind w:left="360"/>
      </w:pPr>
      <w:r>
        <w:rPr>
          <w:rFonts w:ascii="Courier New" w:cs="Courier New" w:eastAsia="Courier New" w:hAnsi="Courier New"/>
          <w:color w:val="333333"/>
          <w:sz w:val="18"/>
          <w:szCs w:val="18"/>
        </w:rPr>
        <w:t xml:space="preserve">Ωbuffer = 100 − (meanNodeIntensity × 100)</w:t>
      </w:r>
    </w:p>
    <w:p>
      <w:pPr>
        <w:spacing w:after="120"/>
      </w:pPr>
      <w:r>
        <w:rPr>
          <w:rFonts w:ascii="Arial" w:cs="Arial" w:eastAsia="Arial" w:hAnsi="Arial"/>
          <w:sz w:val="22"/>
          <w:szCs w:val="22"/>
        </w:rPr>
        <w:t xml:space="preserve">Status thresholds: NOMINAL (&gt;65), ELEVATED (35–65), CRITICAL (15–35), OMEGA_BREACH (&lt;15).</w:t>
      </w:r>
    </w:p>
    <w:p>
      <w:pPr>
        <w:pStyle w:val="Heading3"/>
        <w:spacing w:after="120" w:before="200"/>
      </w:pPr>
      <w:r>
        <w:rPr>
          <w:rFonts w:ascii="Arial" w:cs="Arial" w:eastAsia="Arial" w:hAnsi="Arial"/>
          <w:b/>
          <w:bCs/>
          <w:color w:val="3A6DB5"/>
          <w:sz w:val="22"/>
          <w:szCs w:val="22"/>
        </w:rPr>
        <w:t xml:space="preserve">Convergence &amp; Termination</w:t>
      </w:r>
    </w:p>
    <w:p>
      <w:pPr>
        <w:spacing w:after="120"/>
      </w:pPr>
      <w:r>
        <w:rPr>
          <w:rFonts w:ascii="Arial" w:cs="Arial" w:eastAsia="Arial" w:hAnsi="Arial"/>
          <w:sz w:val="22"/>
          <w:szCs w:val="22"/>
        </w:rPr>
        <w:t xml:space="preserve">The simulation terminates early if the maximum intensity delta across all nodes falls below the stability threshold (system has converged), or if the system reaches critical state (buffer &lt; criticalBufferThreshold).</w:t>
      </w:r>
    </w:p>
    <w:p>
      <w:pPr>
        <w:pStyle w:val="Heading2"/>
        <w:spacing w:after="160" w:before="280"/>
      </w:pPr>
      <w:r>
        <w:rPr>
          <w:rFonts w:ascii="Arial" w:cs="Arial" w:eastAsia="Arial" w:hAnsi="Arial"/>
          <w:b/>
          <w:bCs/>
          <w:color w:val="2E5090"/>
          <w:sz w:val="26"/>
          <w:szCs w:val="26"/>
        </w:rPr>
        <w:t xml:space="preserve">4.3 Spectral Stability</w:t>
      </w:r>
    </w:p>
    <w:p>
      <w:pPr>
        <w:spacing w:after="120"/>
      </w:pPr>
      <w:r>
        <w:rPr>
          <w:rFonts w:ascii="Arial" w:cs="Arial" w:eastAsia="Arial" w:hAnsi="Arial"/>
          <w:sz w:val="22"/>
          <w:szCs w:val="22"/>
        </w:rPr>
        <w:t xml:space="preserve">The cascade analysis computes λmax (largest eigenvalue) via max weighted row sum of the adjacency matrix. When λmax ≥ 1.0, the network is spectrally unstable — perturbations amplify rather than decay. The damping coefficient is computed as:</w:t>
      </w:r>
    </w:p>
    <w:p>
      <w:pPr>
        <w:spacing w:after="80"/>
        <w:ind w:left="360"/>
      </w:pPr>
      <w:r>
        <w:rPr>
          <w:rFonts w:ascii="Courier New" w:cs="Courier New" w:eastAsia="Courier New" w:hAnsi="Courier New"/>
          <w:color w:val="333333"/>
          <w:sz w:val="18"/>
          <w:szCs w:val="18"/>
        </w:rPr>
        <w:t xml:space="preserve">dampingCoeff = λmax &lt; 1.0 ? (1.0 − λmax) : 0</w:t>
      </w:r>
    </w:p>
    <w:p>
      <w:r>
        <w:br w:type="page"/>
      </w:r>
    </w:p>
    <w:p>
      <w:pPr>
        <w:pStyle w:val="Heading1"/>
        <w:spacing w:after="200" w:before="360"/>
      </w:pPr>
      <w:r>
        <w:rPr>
          <w:rFonts w:ascii="Arial" w:cs="Arial" w:eastAsia="Arial" w:hAnsi="Arial"/>
          <w:b/>
          <w:bCs/>
          <w:color w:val="1B2A4A"/>
          <w:sz w:val="32"/>
          <w:szCs w:val="32"/>
        </w:rPr>
        <w:t xml:space="preserve">5. CRITICALITY HORIZON MODULES</w:t>
      </w:r>
    </w:p>
    <w:p>
      <w:pPr>
        <w:spacing w:after="120"/>
      </w:pPr>
      <w:r>
        <w:rPr>
          <w:rFonts w:ascii="Arial" w:cs="Arial" w:eastAsia="Arial" w:hAnsi="Arial"/>
          <w:sz w:val="22"/>
          <w:szCs w:val="22"/>
        </w:rPr>
        <w:t xml:space="preserve">Three independent criticality assessment modules provide T-minus countdown estimates using distinct mathematical frameworks:</w:t>
      </w:r>
    </w:p>
    <w:p>
      <w:pPr>
        <w:pStyle w:val="Heading2"/>
        <w:spacing w:after="160" w:before="280"/>
      </w:pPr>
      <w:r>
        <w:rPr>
          <w:rFonts w:ascii="Arial" w:cs="Arial" w:eastAsia="Arial" w:hAnsi="Arial"/>
          <w:b/>
          <w:bCs/>
          <w:color w:val="2E5090"/>
          <w:sz w:val="26"/>
          <w:szCs w:val="26"/>
        </w:rPr>
        <w:t xml:space="preserve">5.1 CSD — Cascade Structural Damage</w:t>
      </w:r>
    </w:p>
    <w:p>
      <w:pPr>
        <w:spacing w:after="120"/>
      </w:pPr>
      <w:r>
        <w:rPr>
          <w:rFonts w:ascii="Arial" w:cs="Arial" w:eastAsia="Arial" w:hAnsi="Arial"/>
          <w:sz w:val="22"/>
          <w:szCs w:val="22"/>
        </w:rPr>
        <w:t xml:space="preserve">Measures the largest eigenvalue (λmax) of the network’s weighted adjacency matrix. When λmax ≥ 1.0, perturbations amplify through the graph rather than decay — a single node failure cascades through downstream dependencies exponentially. The T-minus countdown estimates epochs until cumulative cascade load exceeds the network’s damping coefficient, meaning recovery capacity is overwhelmed.</w:t>
      </w:r>
    </w:p>
    <w:p>
      <w:pPr>
        <w:spacing w:after="80"/>
        <w:ind w:left="360"/>
      </w:pPr>
      <w:r>
        <w:rPr>
          <w:rFonts w:ascii="Courier New" w:cs="Courier New" w:eastAsia="Courier New" w:hAnsi="Courier New"/>
          <w:color w:val="333333"/>
          <w:sz w:val="18"/>
          <w:szCs w:val="18"/>
        </w:rPr>
        <w:t xml:space="preserve">λmax = max eigenvalue(W) | CSD critical when λmax ≥ 1.0</w:t>
      </w:r>
    </w:p>
    <w:p>
      <w:pPr>
        <w:pStyle w:val="Heading2"/>
        <w:spacing w:after="160" w:before="280"/>
      </w:pPr>
      <w:r>
        <w:rPr>
          <w:rFonts w:ascii="Arial" w:cs="Arial" w:eastAsia="Arial" w:hAnsi="Arial"/>
          <w:b/>
          <w:bCs/>
          <w:color w:val="2E5090"/>
          <w:sz w:val="26"/>
          <w:szCs w:val="26"/>
        </w:rPr>
        <w:t xml:space="preserve">5.2 PH — Persistent Homology</w:t>
      </w:r>
    </w:p>
    <w:p>
      <w:pPr>
        <w:spacing w:after="120"/>
      </w:pPr>
      <w:r>
        <w:rPr>
          <w:rFonts w:ascii="Arial" w:cs="Arial" w:eastAsia="Arial" w:hAnsi="Arial"/>
          <w:sz w:val="22"/>
          <w:szCs w:val="22"/>
        </w:rPr>
        <w:t xml:space="preserve">Tracks topological features (Betti numbers) of the fragility landscape as a filtration parameter increases. High-Ω nodes form clusters whose boundaries define "holes" in the causal topology — persistent holes indicate structurally isolated fragility pockets. When holes collapse (Betti numbers β1 → 0), previously isolated fragility clusters merge, creating system-wide contagion pathways.</w:t>
      </w:r>
    </w:p>
    <w:p>
      <w:pPr>
        <w:spacing w:after="80"/>
        <w:ind w:left="360"/>
      </w:pPr>
      <w:r>
        <w:rPr>
          <w:rFonts w:ascii="Courier New" w:cs="Courier New" w:eastAsia="Courier New" w:hAnsi="Courier New"/>
          <w:color w:val="333333"/>
          <w:sz w:val="18"/>
          <w:szCs w:val="18"/>
        </w:rPr>
        <w:t xml:space="preserve">βk = rank Hk(X) | PH critical when β1 → 0</w:t>
      </w:r>
    </w:p>
    <w:p>
      <w:pPr>
        <w:pStyle w:val="Heading2"/>
        <w:spacing w:after="160" w:before="280"/>
      </w:pPr>
      <w:r>
        <w:rPr>
          <w:rFonts w:ascii="Arial" w:cs="Arial" w:eastAsia="Arial" w:hAnsi="Arial"/>
          <w:b/>
          <w:bCs/>
          <w:color w:val="2E5090"/>
          <w:sz w:val="26"/>
          <w:szCs w:val="26"/>
        </w:rPr>
        <w:t xml:space="preserve">5.3 LPPLS — Log-Periodic Power Law Singularity</w:t>
      </w:r>
    </w:p>
    <w:p>
      <w:pPr>
        <w:spacing w:after="120"/>
      </w:pPr>
      <w:r>
        <w:rPr>
          <w:rFonts w:ascii="Arial" w:cs="Arial" w:eastAsia="Arial" w:hAnsi="Arial"/>
          <w:sz w:val="22"/>
          <w:szCs w:val="22"/>
        </w:rPr>
        <w:t xml:space="preserve">Fits the LPPLS model (Sornette, 2003) to network fragility acceleration. The characteristic signal is:</w:t>
      </w:r>
    </w:p>
    <w:p>
      <w:pPr>
        <w:spacing w:after="80"/>
        <w:ind w:left="360"/>
      </w:pPr>
      <w:r>
        <w:rPr>
          <w:rFonts w:ascii="Courier New" w:cs="Courier New" w:eastAsia="Courier New" w:hAnsi="Courier New"/>
          <w:color w:val="333333"/>
          <w:sz w:val="18"/>
          <w:szCs w:val="18"/>
        </w:rPr>
        <w:t xml:space="preserve">y(t) = A + B(tc − t)^m · [1 + C·cos(ω·ln(tc − t) + φ)]</w:t>
      </w:r>
    </w:p>
    <w:p>
      <w:pPr>
        <w:spacing w:after="120"/>
      </w:pPr>
      <w:r>
        <w:rPr>
          <w:rFonts w:ascii="Arial" w:cs="Arial" w:eastAsia="Arial" w:hAnsi="Arial"/>
          <w:sz w:val="22"/>
          <w:szCs w:val="22"/>
        </w:rPr>
        <w:t xml:space="preserve">Log-periodic oscillations with increasing frequency signal an approaching critical time (tc) where the system transitions to a new regime. Originally developed for financial crash prediction, applied here to causal network fragility time series.</w:t>
      </w:r>
    </w:p>
    <w:p>
      <w:pPr>
        <w:spacing w:after="80"/>
        <w:ind w:left="360"/>
      </w:pPr>
      <w:r>
        <w:rPr>
          <w:rFonts w:ascii="Courier New" w:cs="Courier New" w:eastAsia="Courier New" w:hAnsi="Courier New"/>
          <w:color w:val="333333"/>
          <w:sz w:val="18"/>
          <w:szCs w:val="18"/>
        </w:rPr>
        <w:t xml:space="preserve">tc = critical time | ω = log-periodic frequency | m = power law exponent</w:t>
      </w:r>
    </w:p>
    <w:p>
      <w:r>
        <w:br w:type="page"/>
      </w:r>
    </w:p>
    <w:p>
      <w:pPr>
        <w:pStyle w:val="Heading1"/>
        <w:spacing w:after="200" w:before="360"/>
      </w:pPr>
      <w:r>
        <w:rPr>
          <w:rFonts w:ascii="Arial" w:cs="Arial" w:eastAsia="Arial" w:hAnsi="Arial"/>
          <w:b/>
          <w:bCs/>
          <w:color w:val="1B2A4A"/>
          <w:sz w:val="32"/>
          <w:szCs w:val="32"/>
        </w:rPr>
        <w:t xml:space="preserve">6. PRESET SHOCK SCENARIOS</w:t>
      </w:r>
    </w:p>
    <w:p>
      <w:pPr>
        <w:spacing w:after="120"/>
      </w:pPr>
      <w:r>
        <w:rPr>
          <w:rFonts w:ascii="Arial" w:cs="Arial" w:eastAsia="Arial" w:hAnsi="Arial"/>
          <w:sz w:val="22"/>
          <w:szCs w:val="22"/>
        </w:rPr>
        <w:t xml:space="preserve">The Pareto engine includes seven calibrated shock scenarios based on real geopolitical and infrastructure vulnerabilities: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300"/>
        <w:gridCol w:w="43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13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Physical Constraint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Strait of Hormuz Closure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0.50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Geopolitical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East-West Pipeline max 5M bpd vs 21M bpd transit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Abqaiq Processing Attack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 of Saudi processing capacity at single site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Ras Laffan LNG Train Outage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Cryogenic heat exchanger: 12-18 month lead time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Urea Export Restriction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Qatar domestic demand priority clause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Phosphate Ore Contamination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Supply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EU cadmium limit: 60mg/kg P2O5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Gas System Overload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0.40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Energy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hydraulic limit: 9.6 Bcf/d ceiling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Global Food Price Spike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Geopolitical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Natural gas = 70-90% of ammonia production cost</w:t>
            </w:r>
          </w:p>
        </w:tc>
      </w:tr>
    </w:tbl>
    <w:p>
      <w:pPr>
        <w:pStyle w:val="Heading1"/>
        <w:spacing w:after="200" w:before="360"/>
      </w:pPr>
      <w:r>
        <w:rPr>
          <w:rFonts w:ascii="Arial" w:cs="Arial" w:eastAsia="Arial" w:hAnsi="Arial"/>
          <w:b/>
          <w:bCs/>
          <w:color w:val="1B2A4A"/>
          <w:sz w:val="32"/>
          <w:szCs w:val="32"/>
        </w:rPr>
        <w:t xml:space="preserve">7. COPILOT SYSTEM</w:t>
      </w:r>
    </w:p>
    <w:p>
      <w:pPr>
        <w:spacing w:after="120"/>
      </w:pPr>
      <w:r>
        <w:rPr>
          <w:rFonts w:ascii="Arial" w:cs="Arial" w:eastAsia="Arial" w:hAnsi="Arial"/>
          <w:sz w:val="22"/>
          <w:szCs w:val="22"/>
        </w:rPr>
        <w:t xml:space="preserve">The conversational copilot uses a hybrid architecture supporting three LLM backends:</w:t>
      </w:r>
    </w:p>
    <w:p>
      <w:pPr>
        <w:pStyle w:val="ListParagraph"/>
        <w:numPr>
          <w:ilvl w:val="0"/>
          <w:numId w:val="3"/>
        </w:numPr>
        <w:spacing w:after="60"/>
      </w:pPr>
      <w:r>
        <w:rPr>
          <w:rFonts w:ascii="Arial" w:cs="Arial" w:eastAsia="Arial" w:hAnsi="Arial"/>
          <w:b/>
          <w:bCs/>
          <w:sz w:val="22"/>
          <w:szCs w:val="22"/>
        </w:rPr>
        <w:t xml:space="preserve">Claude (Anthropic): </w:t>
      </w:r>
      <w:r>
        <w:rPr>
          <w:rFonts w:ascii="Arial" w:cs="Arial" w:eastAsia="Arial" w:hAnsi="Arial"/>
          <w:sz w:val="22"/>
          <w:szCs w:val="22"/>
        </w:rPr>
        <w:t xml:space="preserve">claude-sonnet-4-20250514 — highest quality reasoning, requires API key</w:t>
      </w:r>
    </w:p>
    <w:p>
      <w:pPr>
        <w:pStyle w:val="ListParagraph"/>
        <w:numPr>
          <w:ilvl w:val="0"/>
          <w:numId w:val="3"/>
        </w:numPr>
        <w:spacing w:after="60"/>
      </w:pPr>
      <w:r>
        <w:rPr>
          <w:rFonts w:ascii="Arial" w:cs="Arial" w:eastAsia="Arial" w:hAnsi="Arial"/>
          <w:b/>
          <w:bCs/>
          <w:sz w:val="22"/>
          <w:szCs w:val="22"/>
        </w:rPr>
        <w:t xml:space="preserve">Gemini (Google): </w:t>
      </w:r>
      <w:r>
        <w:rPr>
          <w:rFonts w:ascii="Arial" w:cs="Arial" w:eastAsia="Arial" w:hAnsi="Arial"/>
          <w:sz w:val="22"/>
          <w:szCs w:val="22"/>
        </w:rPr>
        <w:t xml:space="preserve">gemini-2.0-flash — fast streaming, requires API key</w:t>
      </w:r>
    </w:p>
    <w:p>
      <w:pPr>
        <w:pStyle w:val="ListParagraph"/>
        <w:numPr>
          <w:ilvl w:val="0"/>
          <w:numId w:val="3"/>
        </w:numPr>
        <w:spacing w:after="60"/>
      </w:pPr>
      <w:r>
        <w:rPr>
          <w:rFonts w:ascii="Arial" w:cs="Arial" w:eastAsia="Arial" w:hAnsi="Arial"/>
          <w:b/>
          <w:bCs/>
          <w:sz w:val="22"/>
          <w:szCs w:val="22"/>
        </w:rPr>
        <w:t xml:space="preserve">Ollama (Local): </w:t>
      </w:r>
      <w:r>
        <w:rPr>
          <w:rFonts w:ascii="Arial" w:cs="Arial" w:eastAsia="Arial" w:hAnsi="Arial"/>
          <w:sz w:val="22"/>
          <w:szCs w:val="22"/>
        </w:rPr>
        <w:t xml:space="preserve">llama3.1:8b default — zero-cost, runs locally, no data leaves machine</w:t>
      </w:r>
    </w:p>
    <w:p>
      <w:pPr>
        <w:spacing w:after="120"/>
      </w:pPr>
      <w:r>
        <w:rPr>
          <w:rFonts w:ascii="Arial" w:cs="Arial" w:eastAsia="Arial" w:hAnsi="Arial"/>
          <w:sz w:val="22"/>
          <w:szCs w:val="22"/>
        </w:rPr>
        <w:t xml:space="preserve">The LLM handles natural language understanding and response generation, while a deterministic action router maps structured intents to Zustand store actions. Supported actions include node selection, shock injection, module switching, edge severance, replay control, and truth filter toggling. Actions are embedded in the response stream as parseable commands.</w:t>
      </w:r>
    </w:p>
    <w:p>
      <w:pPr>
        <w:pStyle w:val="Heading1"/>
        <w:spacing w:after="200" w:before="360"/>
      </w:pPr>
      <w:r>
        <w:rPr>
          <w:rFonts w:ascii="Arial" w:cs="Arial" w:eastAsia="Arial" w:hAnsi="Arial"/>
          <w:b/>
          <w:bCs/>
          <w:color w:val="1B2A4A"/>
          <w:sz w:val="32"/>
          <w:szCs w:val="32"/>
        </w:rPr>
        <w:t xml:space="preserve">8. VISUALIZATION LAYER</w:t>
      </w:r>
    </w:p>
    <w:p>
      <w:pPr>
        <w:spacing w:after="120"/>
      </w:pPr>
      <w:r>
        <w:rPr>
          <w:rFonts w:ascii="Arial" w:cs="Arial" w:eastAsia="Arial" w:hAnsi="Arial"/>
          <w:sz w:val="22"/>
          <w:szCs w:val="22"/>
        </w:rPr>
        <w:t xml:space="preserve">The primary visualization is a 3D WebGL directed acyclic graph rendered via React Three Fiber and d3-force-3d:</w:t>
      </w:r>
    </w:p>
    <w:p>
      <w:pPr>
        <w:pStyle w:val="ListParagraph"/>
        <w:numPr>
          <w:ilvl w:val="0"/>
          <w:numId w:val="3"/>
        </w:numPr>
        <w:spacing w:after="60"/>
      </w:pPr>
      <w:r>
        <w:rPr>
          <w:rFonts w:ascii="Arial" w:cs="Arial" w:eastAsia="Arial" w:hAnsi="Arial"/>
          <w:b/>
          <w:bCs/>
          <w:sz w:val="22"/>
          <w:szCs w:val="22"/>
        </w:rPr>
        <w:t xml:space="preserve">Nodes: </w:t>
      </w:r>
      <w:r>
        <w:rPr>
          <w:rFonts w:ascii="Arial" w:cs="Arial" w:eastAsia="Arial" w:hAnsi="Arial"/>
          <w:sz w:val="22"/>
          <w:szCs w:val="22"/>
        </w:rPr>
        <w:t xml:space="preserve">Spheres colored by domain, with radius and emissive glow proportional to ΩF scores. Pulsing aura on selection.</w:t>
      </w:r>
    </w:p>
    <w:p>
      <w:pPr>
        <w:pStyle w:val="ListParagraph"/>
        <w:numPr>
          <w:ilvl w:val="0"/>
          <w:numId w:val="3"/>
        </w:numPr>
        <w:spacing w:after="60"/>
      </w:pPr>
      <w:r>
        <w:rPr>
          <w:rFonts w:ascii="Arial" w:cs="Arial" w:eastAsia="Arial" w:hAnsi="Arial"/>
          <w:b/>
          <w:bCs/>
          <w:sz w:val="22"/>
          <w:szCs w:val="22"/>
        </w:rPr>
        <w:t xml:space="preserve">Edges: </w:t>
      </w:r>
      <w:r>
        <w:rPr>
          <w:rFonts w:ascii="Arial" w:cs="Arial" w:eastAsia="Arial" w:hAnsi="Arial"/>
          <w:sz w:val="22"/>
          <w:szCs w:val="22"/>
        </w:rPr>
        <w:t xml:space="preserve">Tube geometry with thickness proportional to causal weight. Color encodes type: cyan (directed), purple (temporal), red (confounded). Dashed for severed edges.</w:t>
      </w:r>
    </w:p>
    <w:p>
      <w:pPr>
        <w:pStyle w:val="ListParagraph"/>
        <w:numPr>
          <w:ilvl w:val="0"/>
          <w:numId w:val="3"/>
        </w:numPr>
        <w:spacing w:after="60"/>
      </w:pPr>
      <w:r>
        <w:rPr>
          <w:rFonts w:ascii="Arial" w:cs="Arial" w:eastAsia="Arial" w:hAnsi="Arial"/>
          <w:b/>
          <w:bCs/>
          <w:sz w:val="22"/>
          <w:szCs w:val="22"/>
        </w:rPr>
        <w:t xml:space="preserve">Interaction: </w:t>
      </w:r>
      <w:r>
        <w:rPr>
          <w:rFonts w:ascii="Arial" w:cs="Arial" w:eastAsia="Arial" w:hAnsi="Arial"/>
          <w:sz w:val="22"/>
          <w:szCs w:val="22"/>
        </w:rPr>
        <w:t xml:space="preserve">Orbit controls, fly-to-node camera, scissors tool for Pearl interventions, lasso selection for multi-node operations.</w:t>
      </w:r>
    </w:p>
    <w:p>
      <w:pPr>
        <w:pStyle w:val="ListParagraph"/>
        <w:numPr>
          <w:ilvl w:val="0"/>
          <w:numId w:val="3"/>
        </w:numPr>
        <w:spacing w:after="60"/>
      </w:pPr>
      <w:r>
        <w:rPr>
          <w:rFonts w:ascii="Arial" w:cs="Arial" w:eastAsia="Arial" w:hAnsi="Arial"/>
          <w:b/>
          <w:bCs/>
          <w:sz w:val="22"/>
          <w:szCs w:val="22"/>
        </w:rPr>
        <w:t xml:space="preserve">Replay: </w:t>
      </w:r>
      <w:r>
        <w:rPr>
          <w:rFonts w:ascii="Arial" w:cs="Arial" w:eastAsia="Arial" w:hAnsi="Arial"/>
          <w:sz w:val="22"/>
          <w:szCs w:val="22"/>
        </w:rPr>
        <w:t xml:space="preserve">Dynamic node coloring per epoch during cascade simulation playback.</w:t>
      </w:r>
    </w:p>
    <w:p>
      <w:pPr>
        <w:pStyle w:val="ListParagraph"/>
        <w:numPr>
          <w:ilvl w:val="0"/>
          <w:numId w:val="3"/>
        </w:numPr>
        <w:spacing w:after="60"/>
      </w:pPr>
      <w:r>
        <w:rPr>
          <w:rFonts w:ascii="Arial" w:cs="Arial" w:eastAsia="Arial" w:hAnsi="Arial"/>
          <w:b/>
          <w:bCs/>
          <w:sz w:val="22"/>
          <w:szCs w:val="22"/>
        </w:rPr>
        <w:t xml:space="preserve">2D Fallback: </w:t>
      </w:r>
      <w:r>
        <w:rPr>
          <w:rFonts w:ascii="Arial" w:cs="Arial" w:eastAsia="Arial" w:hAnsi="Arial"/>
          <w:sz w:val="22"/>
          <w:szCs w:val="22"/>
        </w:rPr>
        <w:t xml:space="preserve">React Flow renderer for older browsers, same interaction model.</w:t>
      </w:r>
    </w:p>
    <w:p>
      <w:pPr>
        <w:spacing w:after="120"/>
      </w:pPr>
      <w:r>
        <w:rPr>
          <w:rFonts w:ascii="Arial" w:cs="Arial" w:eastAsia="Arial" w:hAnsi="Arial"/>
          <w:sz w:val="22"/>
          <w:szCs w:val="22"/>
        </w:rPr>
        <w:t xml:space="preserve">The 3D layout uses d3-force-3d with 200 simulation iterations, domain z-layer offsets for visual separation, and normalization to fixed bounds (±55x, ±40y, ±35z).</w:t>
      </w:r>
    </w:p>
    <w:p>
      <w:pPr>
        <w:pStyle w:val="Heading1"/>
        <w:spacing w:after="200" w:before="360"/>
      </w:pPr>
      <w:r>
        <w:rPr>
          <w:rFonts w:ascii="Arial" w:cs="Arial" w:eastAsia="Arial" w:hAnsi="Arial"/>
          <w:b/>
          <w:bCs/>
          <w:color w:val="1B2A4A"/>
          <w:sz w:val="32"/>
          <w:szCs w:val="32"/>
        </w:rPr>
        <w:t xml:space="preserve">9. TEMPORAL ANALYSIS</w:t>
      </w:r>
    </w:p>
    <w:p>
      <w:pPr>
        <w:spacing w:after="120"/>
      </w:pPr>
      <w:r>
        <w:rPr>
          <w:rFonts w:ascii="Arial" w:cs="Arial" w:eastAsia="Arial" w:hAnsi="Arial"/>
          <w:sz w:val="22"/>
          <w:szCs w:val="22"/>
        </w:rPr>
        <w:t xml:space="preserve">The timeline system generates 60-day synthetic time series for all nodes and edges using seeded random walks with mean-reversion drift. Eight event templates inject disruption signals at calibrated dates, modulating node Ω scores via Gaussian decay kernels. The timeline scrubber supports day, week, and month granularity with live-follow mode.</w:t>
      </w:r>
    </w:p>
    <w:p>
      <w:pPr>
        <w:spacing w:after="120"/>
      </w:pPr>
      <w:r>
        <w:rPr>
          <w:rFonts w:ascii="Arial" w:cs="Arial" w:eastAsia="Arial" w:hAnsi="Arial"/>
          <w:sz w:val="22"/>
          <w:szCs w:val="22"/>
        </w:rPr>
        <w:t xml:space="preserve">Time series generation uses deterministic seeding (seed=42) for reproducibility. Node appearance timing is staggered: 85% present from day 1, 15% appear mid-period to simulate asset commissioning.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APEX TERMINAL — System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A6DB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2026-03-17T02:25:55.508Z</dcterms:created>
  <dcterms:modified xsi:type="dcterms:W3CDTF">2026-03-17T02:25:55.512Z</dcterms:modified>
</cp:coreProperties>
</file>

<file path=docProps/custom.xml><?xml version="1.0" encoding="utf-8"?>
<Properties xmlns="http://schemas.openxmlformats.org/officeDocument/2006/custom-properties" xmlns:vt="http://schemas.openxmlformats.org/officeDocument/2006/docPropsVTypes"/>
</file>