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 most consistently B7-H3 (CD276), and additionally CD73 and CD39 —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rPr>
          <w:b/>
          <w:bCs/>
        </w:rPr>
        <w:t xml:space="preserve">Objectives.</w:t>
      </w:r>
      <w:r>
        <w:t xml:space="preserve"> </w:t>
      </w:r>
      <w:r>
        <w:t xml:space="preserve">Nucleolin (NCL) is an established cancer target proposed to shape the tumour immune microenvironment, but this has not been tested systematically. We asked how NCL relates to immune phenotype and checkpoint molecules, and whether it is prognostic independent of clinical covariates.</w:t>
      </w:r>
    </w:p>
    <w:p>
      <w:pPr>
        <w:pStyle w:val="BodyText"/>
      </w:pPr>
      <w:r>
        <w:rPr>
          <w:b/>
          <w:bCs/>
        </w:rPr>
        <w:t xml:space="preserve">Methods.</w:t>
      </w:r>
      <w:r>
        <w:t xml:space="preserve"> </w:t>
      </w:r>
      <w:r>
        <w:t xml:space="preserve">We analysed 9,358 TCGA tumours across 33 cancer types against 7,262 GTEx and 727 adjacent normal samples using uniformly reprocessed transcriptomes. Differential expression used Wilcoxon tests with Cliff’s delta and stage trends the Jonckheere–Terpstra test. Three survival endpoints were modelled by multivariable Cox regression adjusting for age, sex, stage and grade, with proportional-hazards checks. Immune infiltration was estimated by seven deconvolution algorithms as purity-adjusted partial correlations; checkpoint correlations were additionally proliferation-adjusted. All test families were Benjamini–Hochberg corrected, and findings validated in nine CPTAC cohorts.</w:t>
      </w:r>
    </w:p>
    <w:p>
      <w:pPr>
        <w:pStyle w:val="BodyText"/>
      </w:pPr>
      <w:r>
        <w:rPr>
          <w:b/>
          <w:bCs/>
        </w:rPr>
        <w:t xml:space="preserve">Results.</w:t>
      </w:r>
      <w:r>
        <w:t xml:space="preserve"> </w:t>
      </w:r>
      <w:r>
        <w:t xml:space="preserve">NCL was overexpressed in 24 of 29 evaluable cancers (Cliff’s delta up to +0.93, q&lt;0.05) and reduced in ovarian carcinoma (−0.27). A stage-ordered increase occurred in only 2 of 17 cancers. After adjustment and FDR correction, NCL remained independently prognostic in only two cancers: KIRP (overall survival HR 2.12, 95% CI 1.37–3.29) and ACC (progression-free HR 2.41, 1.40–4.16). Seven of nine CPTAC cohorts confirmed elevated NCL protein. NCL correlated negatively with microenvironment score (20/20 cancers) and positively with B7-H3 in 21 of 33, whereas CTLA-4, PD-1 and TIM-3 were uncorrelated.</w:t>
      </w:r>
    </w:p>
    <w:p>
      <w:pPr>
        <w:pStyle w:val="BodyText"/>
      </w:pPr>
      <w:r>
        <w:rPr>
          <w:b/>
          <w:bCs/>
        </w:rPr>
        <w:t xml:space="preserve">Conclusion.</w:t>
      </w:r>
      <w:r>
        <w:t xml:space="preserve"> </w:t>
      </w:r>
      <w:r>
        <w:t xml:space="preserve">NCL associates with tumour-intrinsic immunosuppressive ligands and an immune-excluded phenotype rather than T-cell checkpoints. Total NCL transcript carries little prognostic information independent of stage and grade, consistent with prior evidence that its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 most notably The Cancer Genome Atlas (TCGA), the Genotype-Tissue Expression project (GTEx) and the Clinical Proteomic Tumor Analysis Consortium (CPTAC) —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 overall survival (OS), disease-specific survival (DSS) and progression-free survival (PFS) —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 as displayed by several web tools —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S4,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and verification suite are provided in the accompanying repository.</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 it is subject to field effects, inflammation and, in nephrectomy specimens, ischaemic injury —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 including READ (delta +0.90, q=2.2×10⁻³⁸) and SKCM (+0.65, q=4.3×10⁻²⁵) —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 consistently in KIRC and LUAD —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Supplementary Table S7).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 negative in all six (KIRC, OV, PRAD, SARC, THCA, UCS; −0.55 to −0.17) —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 and,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S10).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 ribosome biogenesis, RNA processing, chromatin function —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 which means immunohistochemistry or an equivalent spatial assay, not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 perturbing NCL and measuring B7-H3 and immune composition —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 as the B7-H3, CD73 and CD39 associations do, while most T-cell checkpoint associations do not —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 which includes most of the ribosome-biogenesis machinery —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 NCL knockdown or overexpression with measurement of B7-H3 and of immune composition —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 CHOL (36 tumours), KICH (65), UCS (57) —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All analysis code, the complete computational environment specification, intermediate result tables and a step-by-step methodology document are available at https://github.com/ApexBlue11/ncl-pancancer-analysis. No new data were generated.</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Each bar totals the 33 cancers analysed. What differs between cell types is the number of algorithms available to resolve them, ranging from two to seven — lowest for cancer-associated fibroblast, endothelial cell and macrophage (at most three) and highest for CD8⁺ T cell (up to seven). The algorithm count for every cancer and cell type is given in Supplementary Table S6.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The sixteen most frequently significant direction-consistent gene sets are shown for each collection.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 no gene set shown here was significantly enriched in opposing directions in different cancers. Section 3.9 names the exceptions for the near-complete sets, and the full per-cancer results are in Supplementary Table S10.</w:t>
      </w:r>
    </w:p>
    <w:bookmarkEnd w:id="41"/>
    <w:bookmarkStart w:id="42"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The 33 TCGA study abbreviations with full names, tumour and normal sample counts, and the TCGA–GTEx normal tissue mapping with match-quality annotation (</w:t>
      </w:r>
      <w:r>
        <w:rPr>
          <w:rStyle w:val="VerbatimChar"/>
        </w:rPr>
        <w:t xml:space="preserve">S1_cohorts_and_tissue_mapping.tsv</w:t>
      </w:r>
      <w:r>
        <w:t xml:space="preserve">).</w:t>
      </w:r>
    </w:p>
    <w:p>
      <w:pPr>
        <w:pStyle w:val="BodyText"/>
      </w:pPr>
      <w:r>
        <w:rPr>
          <w:b/>
          <w:bCs/>
        </w:rPr>
        <w:t xml:space="preserve">Supplementary Table S2.</w:t>
      </w:r>
      <w:r>
        <w:t xml:space="preserve"> </w:t>
      </w:r>
      <w:r>
        <w:t xml:space="preserve">NCL differential expression per cancer against both normal comparators (</w:t>
      </w:r>
      <w:r>
        <w:rPr>
          <w:rStyle w:val="VerbatimChar"/>
        </w:rPr>
        <w:t xml:space="preserve">T1_differential_expression.tsv</w:t>
      </w:r>
      <w:r>
        <w:t xml:space="preserve">).</w:t>
      </w:r>
    </w:p>
    <w:p>
      <w:pPr>
        <w:pStyle w:val="BodyText"/>
      </w:pPr>
      <w:r>
        <w:rPr>
          <w:b/>
          <w:bCs/>
        </w:rPr>
        <w:t xml:space="preserve">Supplementary Table S3.</w:t>
      </w:r>
      <w:r>
        <w:t xml:space="preserve"> </w:t>
      </w:r>
      <w:r>
        <w:t xml:space="preserve">Association between NCL expression and pathological stage (</w:t>
      </w:r>
      <w:r>
        <w:rPr>
          <w:rStyle w:val="VerbatimChar"/>
        </w:rPr>
        <w:t xml:space="preserve">T2_stage_association.tsv</w:t>
      </w:r>
      <w:r>
        <w:t xml:space="preserve">).</w:t>
      </w:r>
    </w:p>
    <w:p>
      <w:pPr>
        <w:pStyle w:val="BodyText"/>
      </w:pPr>
      <w:r>
        <w:rPr>
          <w:b/>
          <w:bCs/>
        </w:rPr>
        <w:t xml:space="preserve">Supplementary Table S4.</w:t>
      </w:r>
      <w:r>
        <w:t xml:space="preserve"> </w:t>
      </w:r>
      <w:r>
        <w:t xml:space="preserve">Log-rank, univariate and multivariable Cox results with proportional-hazards diagnostics (</w:t>
      </w:r>
      <w:r>
        <w:rPr>
          <w:rStyle w:val="VerbatimChar"/>
        </w:rPr>
        <w:t xml:space="preserve">T3_survival.tsv</w:t>
      </w:r>
      <w:r>
        <w:t xml:space="preserve">).</w:t>
      </w:r>
    </w:p>
    <w:p>
      <w:pPr>
        <w:pStyle w:val="BodyText"/>
      </w:pPr>
      <w:r>
        <w:rPr>
          <w:b/>
          <w:bCs/>
        </w:rPr>
        <w:t xml:space="preserve">Supplementary Table S5.</w:t>
      </w:r>
      <w:r>
        <w:t xml:space="preserve"> </w:t>
      </w:r>
      <w:r>
        <w:t xml:space="preserve">All 3,910 cancer × cell type × algorithm infiltration tests (</w:t>
      </w:r>
      <w:r>
        <w:rPr>
          <w:rStyle w:val="VerbatimChar"/>
        </w:rPr>
        <w:t xml:space="preserve">T4_immune_infiltration.tsv</w:t>
      </w:r>
      <w:r>
        <w:t xml:space="preserve">).</w:t>
      </w:r>
    </w:p>
    <w:p>
      <w:pPr>
        <w:pStyle w:val="BodyText"/>
      </w:pPr>
      <w:r>
        <w:rPr>
          <w:b/>
          <w:bCs/>
        </w:rPr>
        <w:t xml:space="preserve">Supplementary Table S6.</w:t>
      </w:r>
      <w:r>
        <w:t xml:space="preserve"> </w:t>
      </w:r>
      <w:r>
        <w:t xml:space="preserve">Cross-algorithm concordance per cancer and canonical cell type (</w:t>
      </w:r>
      <w:r>
        <w:rPr>
          <w:rStyle w:val="VerbatimChar"/>
        </w:rPr>
        <w:t xml:space="preserve">T5_algorithm_concordance.tsv</w:t>
      </w:r>
      <w:r>
        <w:t xml:space="preserve">).</w:t>
      </w:r>
    </w:p>
    <w:p>
      <w:pPr>
        <w:pStyle w:val="BodyText"/>
      </w:pPr>
      <w:r>
        <w:rPr>
          <w:b/>
          <w:bCs/>
        </w:rPr>
        <w:t xml:space="preserve">Supplementary Table S7.</w:t>
      </w:r>
      <w:r>
        <w:t xml:space="preserve"> </w:t>
      </w:r>
      <w:r>
        <w:t xml:space="preserve">Immune checkpoint correlations, unadjusted and adjusted for tumour purity and for proliferation (</w:t>
      </w:r>
      <w:r>
        <w:rPr>
          <w:rStyle w:val="VerbatimChar"/>
        </w:rPr>
        <w:t xml:space="preserve">T6_checkpoints.tsv</w:t>
      </w:r>
      <w:r>
        <w:t xml:space="preserve">).</w:t>
      </w:r>
    </w:p>
    <w:p>
      <w:pPr>
        <w:pStyle w:val="BodyText"/>
      </w:pPr>
      <w:r>
        <w:rPr>
          <w:b/>
          <w:bCs/>
        </w:rPr>
        <w:t xml:space="preserve">Supplementary Table S8.</w:t>
      </w:r>
      <w:r>
        <w:t xml:space="preserve"> </w:t>
      </w:r>
      <w:r>
        <w:t xml:space="preserve">Immune, stromal and microenvironment scores, TMB, MSI, aneuploidy and fraction of genome altered (</w:t>
      </w:r>
      <w:r>
        <w:rPr>
          <w:rStyle w:val="VerbatimChar"/>
        </w:rPr>
        <w:t xml:space="preserve">T8_genomic_scores.tsv</w:t>
      </w:r>
      <w:r>
        <w:t xml:space="preserve">).</w:t>
      </w:r>
    </w:p>
    <w:p>
      <w:pPr>
        <w:pStyle w:val="BodyText"/>
      </w:pPr>
      <w:r>
        <w:rPr>
          <w:b/>
          <w:bCs/>
        </w:rPr>
        <w:t xml:space="preserve">Supplementary Table S9.</w:t>
      </w:r>
      <w:r>
        <w:t xml:space="preserve"> </w:t>
      </w:r>
      <w:r>
        <w:t xml:space="preserve">CPTAC protein-level validation (</w:t>
      </w:r>
      <w:r>
        <w:rPr>
          <w:rStyle w:val="VerbatimChar"/>
        </w:rPr>
        <w:t xml:space="preserve">T7_cptac_validation.tsv</w:t>
      </w:r>
      <w:r>
        <w:t xml:space="preserve">).</w:t>
      </w:r>
    </w:p>
    <w:p>
      <w:pPr>
        <w:pStyle w:val="BodyText"/>
      </w:pPr>
      <w:r>
        <w:rPr>
          <w:b/>
          <w:bCs/>
        </w:rPr>
        <w:t xml:space="preserve">Supplementary Table S10.</w:t>
      </w:r>
      <w:r>
        <w:t xml:space="preserve"> </w:t>
      </w:r>
      <w:r>
        <w:t xml:space="preserve">Per-cancer GSEA against Hallmark and Reactome (</w:t>
      </w:r>
      <w:r>
        <w:rPr>
          <w:rStyle w:val="VerbatimChar"/>
        </w:rPr>
        <w:t xml:space="preserve">T10_gsea_per_cancer.tsv.gz</w:t>
      </w:r>
      <w:r>
        <w:t xml:space="preserve">).</w:t>
      </w:r>
    </w:p>
    <w:p>
      <w:pPr>
        <w:pStyle w:val="BodyText"/>
      </w:pPr>
      <w:r>
        <w:rPr>
          <w:b/>
          <w:bCs/>
        </w:rPr>
        <w:t xml:space="preserve">Supplementary Table S11.</w:t>
      </w:r>
      <w:r>
        <w:t xml:space="preserve"> </w:t>
      </w:r>
      <w:r>
        <w:t xml:space="preserve">Within-cancer Spearman correlation of NCL against every gene, the GSEA ranking statistic (</w:t>
      </w:r>
      <w:r>
        <w:rPr>
          <w:rStyle w:val="VerbatimChar"/>
        </w:rPr>
        <w:t xml:space="preserve">T9_ncl_gene_correlations.tsv.gz</w:t>
      </w:r>
      <w:r>
        <w:t xml:space="preserve">).</w:t>
      </w:r>
    </w:p>
    <w:p>
      <w:pPr>
        <w:pStyle w:val="BodyText"/>
      </w:pPr>
      <w:r>
        <w:t xml:space="preserve">File names in parentheses are the corresponding files in</w:t>
      </w:r>
      <w:r>
        <w:t xml:space="preserve"> </w:t>
      </w:r>
      <w:r>
        <w:rPr>
          <w:rStyle w:val="VerbatimChar"/>
        </w:rPr>
        <w:t xml:space="preserve">results/tables/</w:t>
      </w:r>
      <w:r>
        <w:t xml:space="preserve"> </w:t>
      </w:r>
      <w:r>
        <w:t xml:space="preserve">of the accompanying repository; the same mapping is given in</w:t>
      </w:r>
      <w:r>
        <w:t xml:space="preserve"> </w:t>
      </w:r>
      <w:r>
        <w:rPr>
          <w:rStyle w:val="VerbatimChar"/>
        </w:rPr>
        <w:t xml:space="preserve">results/tables/SUPPLEMENTARY_INDEX.md</w:t>
      </w:r>
      <w:r>
        <w:t xml:space="preserve">.</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2026-07-27T19:00:45Z</dcterms:created>
  <dcterms:modified xsi:type="dcterms:W3CDTF">2026-07-27T19:00:45Z</dcterms:modified>
</cp:coreProperties>
</file>

<file path=docProps/custom.xml><?xml version="1.0" encoding="utf-8"?>
<Properties xmlns="http://schemas.openxmlformats.org/officeDocument/2006/custom-properties" xmlns:vt="http://schemas.openxmlformats.org/officeDocument/2006/docPropsVTypes"/>
</file>