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ind w:right="14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What Defines Us?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ind w:right="14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14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Business is just about enabling human beings, nothing more, nothing less. Businesses need to recognize this fundamental fact – Bruce Dickinson.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ind w:right="14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Pinwheels framework talks about our belief in the philosophy that when organizations &amp; individuals are given a stage of freedom, free space, &amp; an unfettered Learning environment; they almost always bloom &amp; grow. Our Pinwheels indicate free flow, breezy innovation &amp; boundless hearts to create ripples of change.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work with our clients in creating endless possibilities of growth by overcoming setbacks &amp; using adversities as stepping up challenges to rise like the proverbial phoenix. The color Orange of the Pinwheel illustrates energy, effervescence, positivity &amp; the attitude of making change happen. The 3 pins of the wheel indicate our framework of Believe, Be &amp; Beyond. We draw satisfaction from lighting the fire of passion &amp; grit in our clients to make them ‘Believe’ that change is indeed a possible way of life.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our valued clients cross the stage of ‘Believe’, we work with them on the ontological levels of ‘Be &amp; Being’ to move them towards Inner transformation &amp; fearless success. We then influence &amp; enable them to look ‘Beyond’ to be a newer version of themselves. Our expertise in Organizational &amp; People Transformation Areas: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right="14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35100" cy="1435100"/>
            <wp:effectExtent b="0" l="0" r="0" t="0"/>
            <wp:docPr descr="Business Consulting" id="2" name="image5.png"/>
            <a:graphic>
              <a:graphicData uri="http://schemas.openxmlformats.org/drawingml/2006/picture">
                <pic:pic>
                  <pic:nvPicPr>
                    <pic:cNvPr descr="Business Consulting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right="14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right="1460" w:firstLine="0"/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95959"/>
          <w:sz w:val="24"/>
          <w:szCs w:val="24"/>
          <w:rtl w:val="0"/>
        </w:rPr>
        <w:t xml:space="preserve">Business Consulting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right="1460" w:firstLine="0"/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</w:rPr>
        <w:drawing>
          <wp:inline distB="114300" distT="114300" distL="114300" distR="114300">
            <wp:extent cx="1435100" cy="1435100"/>
            <wp:effectExtent b="0" l="0" r="0" t="0"/>
            <wp:docPr descr="Executive Hiring-who-are-we" id="3" name="image4.png"/>
            <a:graphic>
              <a:graphicData uri="http://schemas.openxmlformats.org/drawingml/2006/picture">
                <pic:pic>
                  <pic:nvPicPr>
                    <pic:cNvPr descr="Executive Hiring-who-are-w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right="14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right="1460" w:firstLine="0"/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95959"/>
          <w:sz w:val="24"/>
          <w:szCs w:val="24"/>
          <w:rtl w:val="0"/>
        </w:rPr>
        <w:t xml:space="preserve">Leadership Consulting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right="1460" w:firstLine="0"/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</w:rPr>
        <w:drawing>
          <wp:inline distB="114300" distT="114300" distL="114300" distR="114300">
            <wp:extent cx="1435100" cy="1435100"/>
            <wp:effectExtent b="0" l="0" r="0" t="0"/>
            <wp:docPr descr="People Consulting-who-are-we" id="1" name="image1.png"/>
            <a:graphic>
              <a:graphicData uri="http://schemas.openxmlformats.org/drawingml/2006/picture">
                <pic:pic>
                  <pic:nvPicPr>
                    <pic:cNvPr descr="People Consulting-who-are-w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right="14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right="1460" w:firstLine="0"/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95959"/>
          <w:sz w:val="24"/>
          <w:szCs w:val="24"/>
          <w:rtl w:val="0"/>
        </w:rPr>
        <w:t xml:space="preserve">People Consulting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right="1460" w:firstLine="0"/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</w:rPr>
        <w:drawing>
          <wp:inline distB="114300" distT="114300" distL="114300" distR="114300">
            <wp:extent cx="1435100" cy="1435100"/>
            <wp:effectExtent b="0" l="0" r="0" t="0"/>
            <wp:docPr descr="Technology Consulting-who-are-we" id="4" name="image3.png"/>
            <a:graphic>
              <a:graphicData uri="http://schemas.openxmlformats.org/drawingml/2006/picture">
                <pic:pic>
                  <pic:nvPicPr>
                    <pic:cNvPr descr="Technology Consulting-who-are-we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right="14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right="1460" w:firstLine="0"/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95959"/>
          <w:sz w:val="24"/>
          <w:szCs w:val="24"/>
          <w:rtl w:val="0"/>
        </w:rPr>
        <w:t xml:space="preserve">Technology Consulting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right="1460" w:firstLine="0"/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</w:rPr>
        <w:drawing>
          <wp:inline distB="114300" distT="114300" distL="114300" distR="114300">
            <wp:extent cx="1435100" cy="1435100"/>
            <wp:effectExtent b="0" l="0" r="0" t="0"/>
            <wp:docPr descr="Learning Consulting-who-are-we" id="5" name="image2.png"/>
            <a:graphic>
              <a:graphicData uri="http://schemas.openxmlformats.org/drawingml/2006/picture">
                <pic:pic>
                  <pic:nvPicPr>
                    <pic:cNvPr descr="Learning Consulting-who-are-we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right="14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right="1460" w:firstLine="0"/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95959"/>
          <w:sz w:val="24"/>
          <w:szCs w:val="24"/>
          <w:rtl w:val="0"/>
        </w:rPr>
        <w:t xml:space="preserve">Learning Consulting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ind w:right="14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Process is simple yet deeply reflective. We enable, we also disrupt; albeit through a gentle persuasive &amp; influencing process. We are a bunch of positivists &amp; empaths who are sure of the sunrise after sunset. We instill positivity, hope, faith &amp; sustainable congruence in our Partners. 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ind w:right="14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work on the below articulated unconventional iconoclastic frameworks &amp; believe we ‘get’ people. We abhor conventional methodologies of Learning &amp; thrive on sustainable learning with great fun along the way. We believe in focusing on strengths &amp; enhancing them.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ind w:left="1440" w:right="14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ind w:right="14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 Frameworks including Oxford Methodologies of Change &amp; Culture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ind w:right="14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Behavioral Sciences, Gestalt, Neurosciences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ind w:right="14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Simulation, Psychometrics, Real Time Business scenarios, Whole Brain Theory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ind w:right="14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Drama, Experiential Learning, Music, Mythology, Theatre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ind w:right="1460"/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1460"/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We work with our clients in deep areas of Organization Effectiveness through areas of pre-post mergers for Cultural Integration, Change Management, Training Facilitation, various facets of Talent Management including end to end cycle management of Talent (from creating a lasting employee experience, Hiring till Exits), Learning &amp; eLearning.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right="14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believe that every individual is a Leader in their own capacity who can be invested-in bettering themselves for organizational &amp; personal efficacy. Hence, our Leadership Coaching aims to ‘bring out’ the Leader in individuals. We advise &amp; consult in various intersection areas of Technology &amp; Human Resources. We believe people make or mar organizations &amp; hence enabling them to harness their fullest potential is sacred water for us.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ind w:right="14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